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47339" w14:textId="77777777" w:rsidR="004873DA" w:rsidRDefault="00922BB7" w:rsidP="00B80983">
      <w:pPr>
        <w:pStyle w:val="Rtitle"/>
      </w:pPr>
      <w:r>
        <w:t>Matters arising from internal audit work for 2019/20 completed to 30 September 2019</w:t>
      </w:r>
    </w:p>
    <w:p w14:paraId="6F654099" w14:textId="77777777" w:rsidR="00F02DC5" w:rsidRPr="00951213" w:rsidRDefault="00922BB7" w:rsidP="00951213">
      <w:pPr>
        <w:pStyle w:val="Rheading"/>
      </w:pPr>
      <w:r>
        <w:t>Introduction</w:t>
      </w:r>
    </w:p>
    <w:p w14:paraId="1A6C2731" w14:textId="77777777" w:rsidR="00873C5A" w:rsidRDefault="00922BB7" w:rsidP="00743805">
      <w:pPr>
        <w:pStyle w:val="Rparagraph"/>
      </w:pPr>
      <w:r w:rsidRPr="00DC3125">
        <w:t xml:space="preserve">This report highlights </w:t>
      </w:r>
      <w:r>
        <w:t>the</w:t>
      </w:r>
      <w:r w:rsidRPr="00DC3125">
        <w:t xml:space="preserve"> issues that the Audit</w:t>
      </w:r>
      <w:r>
        <w:t>, Risk</w:t>
      </w:r>
      <w:r w:rsidRPr="00DC3125">
        <w:t xml:space="preserve"> and Governance </w:t>
      </w:r>
      <w:r w:rsidRPr="0046437D">
        <w:t>Committee</w:t>
      </w:r>
      <w:r w:rsidRPr="00DC3125">
        <w:t xml:space="preserve"> should be aware of in fulfilling its role of providing independent oversight of the adequacy of the council's governance, risk management and internal control framework. It </w:t>
      </w:r>
      <w:r>
        <w:t>sets out the issues arising from</w:t>
      </w:r>
      <w:r w:rsidRPr="00DC3125">
        <w:t xml:space="preserve"> the work undertaken during the </w:t>
      </w:r>
      <w:r>
        <w:t xml:space="preserve">period </w:t>
      </w:r>
      <w:r w:rsidRPr="00DC3125">
        <w:t xml:space="preserve">to </w:t>
      </w:r>
      <w:r>
        <w:t xml:space="preserve">30 September 2019 </w:t>
      </w:r>
      <w:r w:rsidRPr="00DC3125">
        <w:t>by the Internal Audit Service under the audit plan</w:t>
      </w:r>
      <w:r>
        <w:t xml:space="preserve"> </w:t>
      </w:r>
      <w:r w:rsidRPr="00DC3125">
        <w:t xml:space="preserve">for </w:t>
      </w:r>
      <w:r>
        <w:t>2019/20.</w:t>
      </w:r>
    </w:p>
    <w:p w14:paraId="42285526" w14:textId="77777777" w:rsidR="00295199" w:rsidRDefault="00922BB7" w:rsidP="00295199">
      <w:pPr>
        <w:pStyle w:val="Rheading"/>
      </w:pPr>
      <w:r>
        <w:t>Work completed</w:t>
      </w:r>
    </w:p>
    <w:p w14:paraId="20575E2F" w14:textId="00102761" w:rsidR="00295199" w:rsidRPr="00AD5BD2" w:rsidRDefault="00922BB7" w:rsidP="00743805">
      <w:pPr>
        <w:pStyle w:val="Rparagraph"/>
      </w:pPr>
      <w:r>
        <w:t>Ten</w:t>
      </w:r>
      <w:r w:rsidRPr="00AD5BD2">
        <w:t xml:space="preserve"> </w:t>
      </w:r>
      <w:r w:rsidR="00714DA1">
        <w:t xml:space="preserve">of the 92 </w:t>
      </w:r>
      <w:r w:rsidRPr="00AD5BD2">
        <w:t xml:space="preserve">audits </w:t>
      </w:r>
      <w:r w:rsidR="00714DA1">
        <w:t xml:space="preserve">in </w:t>
      </w:r>
      <w:r w:rsidRPr="00AD5BD2">
        <w:t xml:space="preserve">the plan (excluding follow-up work and grant certification) have been completed and assurance has been provided as set out in the table below. Reports on </w:t>
      </w:r>
      <w:r>
        <w:t>seven</w:t>
      </w:r>
      <w:r w:rsidRPr="00AD5BD2">
        <w:t xml:space="preserve"> further audits are being discussed with management. </w:t>
      </w:r>
    </w:p>
    <w:tbl>
      <w:tblPr>
        <w:tblStyle w:val="TableGrid"/>
        <w:tblW w:w="8505" w:type="dxa"/>
        <w:tblInd w:w="562" w:type="dxa"/>
        <w:tblLayout w:type="fixed"/>
        <w:tblLook w:val="04A0" w:firstRow="1" w:lastRow="0" w:firstColumn="1" w:lastColumn="0" w:noHBand="0" w:noVBand="1"/>
      </w:tblPr>
      <w:tblGrid>
        <w:gridCol w:w="2552"/>
        <w:gridCol w:w="1134"/>
        <w:gridCol w:w="1417"/>
        <w:gridCol w:w="1276"/>
        <w:gridCol w:w="1134"/>
        <w:gridCol w:w="992"/>
      </w:tblGrid>
      <w:tr w:rsidR="0024235B" w14:paraId="2A2244D1" w14:textId="77777777" w:rsidTr="00081331">
        <w:tc>
          <w:tcPr>
            <w:tcW w:w="2552" w:type="dxa"/>
            <w:vMerge w:val="restart"/>
            <w:tcBorders>
              <w:top w:val="single" w:sz="4" w:space="0" w:color="auto"/>
              <w:left w:val="single" w:sz="4" w:space="0" w:color="auto"/>
            </w:tcBorders>
            <w:shd w:val="clear" w:color="auto" w:fill="D9D9D9" w:themeFill="background1" w:themeFillShade="D9"/>
          </w:tcPr>
          <w:p w14:paraId="52C50093" w14:textId="77777777" w:rsidR="00295199" w:rsidRPr="00AE67EF" w:rsidRDefault="00922BB7" w:rsidP="00AE67EF">
            <w:pPr>
              <w:tabs>
                <w:tab w:val="left" w:pos="284"/>
              </w:tabs>
              <w:spacing w:before="20" w:after="20" w:line="240" w:lineRule="auto"/>
              <w:rPr>
                <w:rFonts w:ascii="Arial" w:hAnsi="Arial" w:cs="Arial"/>
                <w:b/>
                <w:sz w:val="22"/>
                <w:szCs w:val="22"/>
              </w:rPr>
            </w:pPr>
            <w:r w:rsidRPr="00AE67EF">
              <w:rPr>
                <w:rFonts w:ascii="Arial" w:hAnsi="Arial" w:cs="Arial"/>
                <w:b/>
                <w:sz w:val="22"/>
                <w:szCs w:val="22"/>
              </w:rPr>
              <w:t>2019/20 assignments relating to:</w:t>
            </w:r>
          </w:p>
        </w:tc>
        <w:tc>
          <w:tcPr>
            <w:tcW w:w="1134" w:type="dxa"/>
            <w:vMerge w:val="restart"/>
            <w:shd w:val="clear" w:color="auto" w:fill="D9D9D9" w:themeFill="background1" w:themeFillShade="D9"/>
          </w:tcPr>
          <w:p w14:paraId="6AB3D686" w14:textId="77777777" w:rsidR="00295199" w:rsidRPr="00AE67EF" w:rsidRDefault="00BF1841" w:rsidP="00AE67EF">
            <w:pPr>
              <w:tabs>
                <w:tab w:val="left" w:pos="284"/>
              </w:tabs>
              <w:spacing w:before="20" w:after="20" w:line="240" w:lineRule="auto"/>
              <w:jc w:val="both"/>
              <w:rPr>
                <w:rFonts w:ascii="Arial" w:hAnsi="Arial" w:cs="Arial"/>
                <w:b/>
                <w:sz w:val="22"/>
                <w:szCs w:val="22"/>
              </w:rPr>
            </w:pPr>
          </w:p>
          <w:p w14:paraId="1039CBB1" w14:textId="77777777" w:rsidR="00295199" w:rsidRPr="00AE67EF" w:rsidRDefault="00922BB7" w:rsidP="00AE67EF">
            <w:pPr>
              <w:tabs>
                <w:tab w:val="left" w:pos="284"/>
              </w:tabs>
              <w:spacing w:before="20" w:after="20" w:line="240" w:lineRule="auto"/>
              <w:jc w:val="both"/>
              <w:rPr>
                <w:rFonts w:ascii="Arial" w:hAnsi="Arial" w:cs="Arial"/>
                <w:b/>
                <w:sz w:val="22"/>
                <w:szCs w:val="22"/>
              </w:rPr>
            </w:pPr>
            <w:r w:rsidRPr="00AE67EF">
              <w:rPr>
                <w:rFonts w:ascii="Arial" w:hAnsi="Arial" w:cs="Arial"/>
                <w:b/>
                <w:sz w:val="22"/>
                <w:szCs w:val="22"/>
              </w:rPr>
              <w:t>Total</w:t>
            </w:r>
          </w:p>
        </w:tc>
        <w:tc>
          <w:tcPr>
            <w:tcW w:w="4819" w:type="dxa"/>
            <w:gridSpan w:val="4"/>
            <w:shd w:val="clear" w:color="auto" w:fill="D9D9D9" w:themeFill="background1" w:themeFillShade="D9"/>
          </w:tcPr>
          <w:p w14:paraId="14480631" w14:textId="77777777" w:rsidR="00295199" w:rsidRPr="00AE67EF" w:rsidRDefault="00922BB7" w:rsidP="00AE67EF">
            <w:pPr>
              <w:tabs>
                <w:tab w:val="left" w:pos="284"/>
              </w:tabs>
              <w:spacing w:before="20" w:after="20" w:line="240" w:lineRule="auto"/>
              <w:jc w:val="both"/>
              <w:rPr>
                <w:rFonts w:ascii="Arial" w:hAnsi="Arial" w:cs="Arial"/>
                <w:b/>
                <w:sz w:val="22"/>
                <w:szCs w:val="22"/>
              </w:rPr>
            </w:pPr>
            <w:r w:rsidRPr="00AE67EF">
              <w:rPr>
                <w:rFonts w:ascii="Arial" w:hAnsi="Arial" w:cs="Arial"/>
                <w:b/>
                <w:sz w:val="22"/>
                <w:szCs w:val="22"/>
              </w:rPr>
              <w:t>Assurance provided</w:t>
            </w:r>
          </w:p>
        </w:tc>
      </w:tr>
      <w:tr w:rsidR="0024235B" w14:paraId="6B877AB0" w14:textId="77777777" w:rsidTr="00081331">
        <w:trPr>
          <w:trHeight w:val="217"/>
        </w:trPr>
        <w:tc>
          <w:tcPr>
            <w:tcW w:w="2552" w:type="dxa"/>
            <w:vMerge/>
            <w:tcBorders>
              <w:left w:val="single" w:sz="4" w:space="0" w:color="auto"/>
            </w:tcBorders>
            <w:shd w:val="clear" w:color="auto" w:fill="D9D9D9" w:themeFill="background1" w:themeFillShade="D9"/>
          </w:tcPr>
          <w:p w14:paraId="7FB6D68C" w14:textId="77777777" w:rsidR="00295199" w:rsidRPr="00AE67EF" w:rsidRDefault="00BF1841" w:rsidP="00AE67EF">
            <w:pPr>
              <w:tabs>
                <w:tab w:val="left" w:pos="284"/>
              </w:tabs>
              <w:spacing w:before="20" w:after="20" w:line="240" w:lineRule="auto"/>
              <w:jc w:val="both"/>
              <w:rPr>
                <w:rFonts w:ascii="Arial" w:hAnsi="Arial" w:cs="Arial"/>
                <w:b/>
                <w:sz w:val="22"/>
                <w:szCs w:val="22"/>
              </w:rPr>
            </w:pPr>
          </w:p>
        </w:tc>
        <w:tc>
          <w:tcPr>
            <w:tcW w:w="1134" w:type="dxa"/>
            <w:vMerge/>
            <w:shd w:val="clear" w:color="auto" w:fill="D9D9D9" w:themeFill="background1" w:themeFillShade="D9"/>
          </w:tcPr>
          <w:p w14:paraId="2451A3C9" w14:textId="77777777" w:rsidR="00295199" w:rsidRPr="00AE67EF" w:rsidRDefault="00BF1841" w:rsidP="00AE67EF">
            <w:pPr>
              <w:tabs>
                <w:tab w:val="left" w:pos="284"/>
              </w:tabs>
              <w:spacing w:before="20" w:after="20" w:line="240" w:lineRule="auto"/>
              <w:jc w:val="both"/>
              <w:rPr>
                <w:rFonts w:ascii="Arial" w:hAnsi="Arial" w:cs="Arial"/>
                <w:b/>
                <w:sz w:val="22"/>
                <w:szCs w:val="22"/>
              </w:rPr>
            </w:pPr>
          </w:p>
        </w:tc>
        <w:tc>
          <w:tcPr>
            <w:tcW w:w="1417" w:type="dxa"/>
            <w:shd w:val="clear" w:color="auto" w:fill="D9D9D9" w:themeFill="background1" w:themeFillShade="D9"/>
            <w:tcMar>
              <w:left w:w="57" w:type="dxa"/>
              <w:right w:w="57" w:type="dxa"/>
            </w:tcMar>
          </w:tcPr>
          <w:p w14:paraId="6B051149" w14:textId="77777777" w:rsidR="00295199" w:rsidRPr="00AE67EF" w:rsidRDefault="00922BB7" w:rsidP="00AE67EF">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Substantial</w:t>
            </w:r>
          </w:p>
        </w:tc>
        <w:tc>
          <w:tcPr>
            <w:tcW w:w="1276" w:type="dxa"/>
            <w:shd w:val="clear" w:color="auto" w:fill="D9D9D9" w:themeFill="background1" w:themeFillShade="D9"/>
            <w:tcMar>
              <w:left w:w="57" w:type="dxa"/>
              <w:right w:w="57" w:type="dxa"/>
            </w:tcMar>
          </w:tcPr>
          <w:p w14:paraId="3C75115C" w14:textId="77777777" w:rsidR="00295199" w:rsidRPr="00AE67EF" w:rsidRDefault="00922BB7" w:rsidP="00AE67EF">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Moderate</w:t>
            </w:r>
          </w:p>
        </w:tc>
        <w:tc>
          <w:tcPr>
            <w:tcW w:w="1134" w:type="dxa"/>
            <w:shd w:val="clear" w:color="auto" w:fill="D9D9D9" w:themeFill="background1" w:themeFillShade="D9"/>
            <w:tcMar>
              <w:left w:w="57" w:type="dxa"/>
              <w:right w:w="57" w:type="dxa"/>
            </w:tcMar>
          </w:tcPr>
          <w:p w14:paraId="7227C95D" w14:textId="77777777" w:rsidR="00295199" w:rsidRPr="00AE67EF" w:rsidRDefault="00922BB7" w:rsidP="00AE67EF">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Limited</w:t>
            </w:r>
          </w:p>
        </w:tc>
        <w:tc>
          <w:tcPr>
            <w:tcW w:w="992" w:type="dxa"/>
            <w:shd w:val="clear" w:color="auto" w:fill="D9D9D9" w:themeFill="background1" w:themeFillShade="D9"/>
            <w:tcMar>
              <w:left w:w="57" w:type="dxa"/>
              <w:right w:w="57" w:type="dxa"/>
            </w:tcMar>
          </w:tcPr>
          <w:p w14:paraId="7B64F7E8" w14:textId="77777777" w:rsidR="00295199" w:rsidRPr="00AE67EF" w:rsidRDefault="00922BB7" w:rsidP="00AE67EF">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None</w:t>
            </w:r>
          </w:p>
        </w:tc>
      </w:tr>
      <w:tr w:rsidR="0024235B" w14:paraId="15F4AEA3" w14:textId="77777777" w:rsidTr="00081331">
        <w:tc>
          <w:tcPr>
            <w:tcW w:w="2552" w:type="dxa"/>
          </w:tcPr>
          <w:p w14:paraId="477A9212" w14:textId="77777777" w:rsidR="00295199" w:rsidRPr="00AE67EF" w:rsidRDefault="00922BB7"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Governance</w:t>
            </w:r>
          </w:p>
        </w:tc>
        <w:tc>
          <w:tcPr>
            <w:tcW w:w="1134" w:type="dxa"/>
            <w:vAlign w:val="center"/>
          </w:tcPr>
          <w:p w14:paraId="4442982D"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w:t>
            </w:r>
          </w:p>
        </w:tc>
        <w:tc>
          <w:tcPr>
            <w:tcW w:w="1417" w:type="dxa"/>
            <w:vAlign w:val="center"/>
          </w:tcPr>
          <w:p w14:paraId="49D4D5CE" w14:textId="77777777" w:rsidR="00295199" w:rsidRPr="00AE67EF" w:rsidRDefault="00BF1841" w:rsidP="00AE67EF">
            <w:pPr>
              <w:tabs>
                <w:tab w:val="decimal" w:pos="736"/>
              </w:tabs>
              <w:spacing w:before="20" w:after="20" w:line="240" w:lineRule="auto"/>
              <w:jc w:val="both"/>
              <w:rPr>
                <w:rFonts w:ascii="Arial" w:hAnsi="Arial" w:cs="Arial"/>
                <w:sz w:val="22"/>
                <w:szCs w:val="22"/>
              </w:rPr>
            </w:pPr>
          </w:p>
        </w:tc>
        <w:tc>
          <w:tcPr>
            <w:tcW w:w="1276" w:type="dxa"/>
            <w:vAlign w:val="center"/>
          </w:tcPr>
          <w:p w14:paraId="051B296A" w14:textId="77777777" w:rsidR="00295199" w:rsidRPr="00AE67EF" w:rsidRDefault="00BF1841" w:rsidP="00AE67EF">
            <w:pPr>
              <w:tabs>
                <w:tab w:val="decimal" w:pos="616"/>
              </w:tabs>
              <w:spacing w:before="20" w:after="20" w:line="240" w:lineRule="auto"/>
              <w:jc w:val="both"/>
              <w:rPr>
                <w:rFonts w:ascii="Arial" w:hAnsi="Arial" w:cs="Arial"/>
                <w:sz w:val="22"/>
                <w:szCs w:val="22"/>
              </w:rPr>
            </w:pPr>
          </w:p>
        </w:tc>
        <w:tc>
          <w:tcPr>
            <w:tcW w:w="1134" w:type="dxa"/>
            <w:vAlign w:val="center"/>
          </w:tcPr>
          <w:p w14:paraId="7E10785C" w14:textId="77777777" w:rsidR="00295199" w:rsidRPr="00AE67EF" w:rsidRDefault="00BF1841" w:rsidP="00AE67EF">
            <w:pPr>
              <w:tabs>
                <w:tab w:val="decimal" w:pos="676"/>
              </w:tabs>
              <w:spacing w:before="20" w:after="20" w:line="240" w:lineRule="auto"/>
              <w:jc w:val="both"/>
              <w:rPr>
                <w:rFonts w:ascii="Arial" w:hAnsi="Arial" w:cs="Arial"/>
                <w:sz w:val="22"/>
                <w:szCs w:val="22"/>
              </w:rPr>
            </w:pPr>
          </w:p>
        </w:tc>
        <w:tc>
          <w:tcPr>
            <w:tcW w:w="992" w:type="dxa"/>
            <w:vAlign w:val="center"/>
          </w:tcPr>
          <w:p w14:paraId="58E64BBE" w14:textId="77777777" w:rsidR="00295199" w:rsidRPr="00AE67EF" w:rsidRDefault="00BF1841" w:rsidP="00AE67EF">
            <w:pPr>
              <w:tabs>
                <w:tab w:val="decimal" w:pos="451"/>
              </w:tabs>
              <w:spacing w:before="20" w:after="20" w:line="240" w:lineRule="auto"/>
              <w:jc w:val="both"/>
              <w:rPr>
                <w:rFonts w:ascii="Arial" w:hAnsi="Arial" w:cs="Arial"/>
                <w:sz w:val="22"/>
                <w:szCs w:val="22"/>
              </w:rPr>
            </w:pPr>
          </w:p>
        </w:tc>
      </w:tr>
      <w:tr w:rsidR="0024235B" w14:paraId="0B06BA03" w14:textId="77777777" w:rsidTr="00081331">
        <w:tc>
          <w:tcPr>
            <w:tcW w:w="2552" w:type="dxa"/>
          </w:tcPr>
          <w:p w14:paraId="66DC6B4B" w14:textId="77777777" w:rsidR="00295199" w:rsidRPr="00AE67EF" w:rsidRDefault="00922BB7"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 xml:space="preserve">Business effectiveness </w:t>
            </w:r>
          </w:p>
        </w:tc>
        <w:tc>
          <w:tcPr>
            <w:tcW w:w="1134" w:type="dxa"/>
            <w:vAlign w:val="center"/>
          </w:tcPr>
          <w:p w14:paraId="310D1269"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w:t>
            </w:r>
          </w:p>
        </w:tc>
        <w:tc>
          <w:tcPr>
            <w:tcW w:w="1417" w:type="dxa"/>
            <w:vAlign w:val="center"/>
          </w:tcPr>
          <w:p w14:paraId="5D880AC7" w14:textId="77777777" w:rsidR="00295199" w:rsidRPr="00AE67EF" w:rsidRDefault="00BF1841" w:rsidP="00AE67EF">
            <w:pPr>
              <w:tabs>
                <w:tab w:val="decimal" w:pos="736"/>
              </w:tabs>
              <w:spacing w:before="20" w:after="20" w:line="240" w:lineRule="auto"/>
              <w:jc w:val="both"/>
              <w:rPr>
                <w:rFonts w:ascii="Arial" w:hAnsi="Arial" w:cs="Arial"/>
                <w:sz w:val="22"/>
                <w:szCs w:val="22"/>
              </w:rPr>
            </w:pPr>
          </w:p>
        </w:tc>
        <w:tc>
          <w:tcPr>
            <w:tcW w:w="1276" w:type="dxa"/>
            <w:vAlign w:val="center"/>
          </w:tcPr>
          <w:p w14:paraId="47125CD1" w14:textId="77777777" w:rsidR="00295199" w:rsidRPr="00AE67EF" w:rsidRDefault="00BF1841" w:rsidP="00AE67EF">
            <w:pPr>
              <w:tabs>
                <w:tab w:val="decimal" w:pos="616"/>
              </w:tabs>
              <w:spacing w:before="20" w:after="20" w:line="240" w:lineRule="auto"/>
              <w:jc w:val="both"/>
              <w:rPr>
                <w:rFonts w:ascii="Arial" w:hAnsi="Arial" w:cs="Arial"/>
                <w:sz w:val="22"/>
                <w:szCs w:val="22"/>
              </w:rPr>
            </w:pPr>
          </w:p>
        </w:tc>
        <w:tc>
          <w:tcPr>
            <w:tcW w:w="1134" w:type="dxa"/>
            <w:vAlign w:val="center"/>
          </w:tcPr>
          <w:p w14:paraId="267FA6AD" w14:textId="77777777" w:rsidR="00295199" w:rsidRPr="00AE67EF" w:rsidRDefault="00BF1841" w:rsidP="00AE67EF">
            <w:pPr>
              <w:tabs>
                <w:tab w:val="decimal" w:pos="676"/>
              </w:tabs>
              <w:spacing w:before="20" w:after="20" w:line="240" w:lineRule="auto"/>
              <w:jc w:val="both"/>
              <w:rPr>
                <w:rFonts w:ascii="Arial" w:hAnsi="Arial" w:cs="Arial"/>
                <w:sz w:val="22"/>
                <w:szCs w:val="22"/>
              </w:rPr>
            </w:pPr>
          </w:p>
        </w:tc>
        <w:tc>
          <w:tcPr>
            <w:tcW w:w="992" w:type="dxa"/>
            <w:vAlign w:val="center"/>
          </w:tcPr>
          <w:p w14:paraId="0A2A1225" w14:textId="77777777" w:rsidR="00295199" w:rsidRPr="00AE67EF" w:rsidRDefault="00BF1841" w:rsidP="00AE67EF">
            <w:pPr>
              <w:tabs>
                <w:tab w:val="decimal" w:pos="451"/>
              </w:tabs>
              <w:spacing w:before="20" w:after="20" w:line="240" w:lineRule="auto"/>
              <w:jc w:val="both"/>
              <w:rPr>
                <w:rFonts w:ascii="Arial" w:hAnsi="Arial" w:cs="Arial"/>
                <w:sz w:val="22"/>
                <w:szCs w:val="22"/>
              </w:rPr>
            </w:pPr>
          </w:p>
        </w:tc>
      </w:tr>
      <w:tr w:rsidR="0024235B" w14:paraId="18CFC1FD" w14:textId="77777777" w:rsidTr="00081331">
        <w:tc>
          <w:tcPr>
            <w:tcW w:w="2552" w:type="dxa"/>
            <w:tcBorders>
              <w:bottom w:val="single" w:sz="4" w:space="0" w:color="auto"/>
            </w:tcBorders>
          </w:tcPr>
          <w:p w14:paraId="1C1AAAC8" w14:textId="77777777" w:rsidR="00295199" w:rsidRPr="00AE67EF" w:rsidRDefault="00922BB7"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Service delivery</w:t>
            </w:r>
          </w:p>
        </w:tc>
        <w:tc>
          <w:tcPr>
            <w:tcW w:w="1134" w:type="dxa"/>
            <w:tcBorders>
              <w:bottom w:val="single" w:sz="4" w:space="0" w:color="auto"/>
            </w:tcBorders>
            <w:vAlign w:val="center"/>
          </w:tcPr>
          <w:p w14:paraId="46167C25" w14:textId="2FA24A7B" w:rsidR="00295199" w:rsidRPr="00AE67EF" w:rsidRDefault="008E73F0"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7</w:t>
            </w:r>
          </w:p>
        </w:tc>
        <w:tc>
          <w:tcPr>
            <w:tcW w:w="1417" w:type="dxa"/>
            <w:tcBorders>
              <w:bottom w:val="single" w:sz="4" w:space="0" w:color="auto"/>
            </w:tcBorders>
            <w:vAlign w:val="center"/>
          </w:tcPr>
          <w:p w14:paraId="67A567D6" w14:textId="77777777" w:rsidR="00295199" w:rsidRPr="00AE67EF" w:rsidRDefault="00922BB7" w:rsidP="00AE67EF">
            <w:pPr>
              <w:tabs>
                <w:tab w:val="decimal" w:pos="736"/>
              </w:tabs>
              <w:spacing w:before="20" w:after="20" w:line="240" w:lineRule="auto"/>
              <w:jc w:val="both"/>
              <w:rPr>
                <w:rFonts w:ascii="Arial" w:hAnsi="Arial" w:cs="Arial"/>
                <w:sz w:val="22"/>
                <w:szCs w:val="22"/>
              </w:rPr>
            </w:pPr>
            <w:r w:rsidRPr="00AE67EF">
              <w:rPr>
                <w:rFonts w:ascii="Arial" w:hAnsi="Arial" w:cs="Arial"/>
                <w:sz w:val="22"/>
                <w:szCs w:val="22"/>
              </w:rPr>
              <w:t>3</w:t>
            </w:r>
          </w:p>
        </w:tc>
        <w:tc>
          <w:tcPr>
            <w:tcW w:w="1276" w:type="dxa"/>
            <w:tcBorders>
              <w:bottom w:val="single" w:sz="4" w:space="0" w:color="auto"/>
            </w:tcBorders>
            <w:vAlign w:val="center"/>
          </w:tcPr>
          <w:p w14:paraId="4F8D791F"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3</w:t>
            </w:r>
          </w:p>
        </w:tc>
        <w:tc>
          <w:tcPr>
            <w:tcW w:w="1134" w:type="dxa"/>
            <w:tcBorders>
              <w:bottom w:val="single" w:sz="4" w:space="0" w:color="auto"/>
            </w:tcBorders>
            <w:vAlign w:val="center"/>
          </w:tcPr>
          <w:p w14:paraId="016C8830" w14:textId="77777777" w:rsidR="00295199" w:rsidRPr="00AE67EF" w:rsidRDefault="00922BB7" w:rsidP="00AE67EF">
            <w:pPr>
              <w:tabs>
                <w:tab w:val="decimal" w:pos="676"/>
              </w:tabs>
              <w:spacing w:before="20" w:after="20" w:line="240" w:lineRule="auto"/>
              <w:jc w:val="both"/>
              <w:rPr>
                <w:rFonts w:ascii="Arial" w:hAnsi="Arial" w:cs="Arial"/>
                <w:sz w:val="22"/>
                <w:szCs w:val="22"/>
              </w:rPr>
            </w:pPr>
            <w:r w:rsidRPr="00AE67EF">
              <w:rPr>
                <w:rFonts w:ascii="Arial" w:hAnsi="Arial" w:cs="Arial"/>
                <w:sz w:val="22"/>
                <w:szCs w:val="22"/>
              </w:rPr>
              <w:t>1</w:t>
            </w:r>
          </w:p>
        </w:tc>
        <w:tc>
          <w:tcPr>
            <w:tcW w:w="992" w:type="dxa"/>
            <w:tcBorders>
              <w:bottom w:val="single" w:sz="4" w:space="0" w:color="auto"/>
            </w:tcBorders>
            <w:vAlign w:val="center"/>
          </w:tcPr>
          <w:p w14:paraId="3BB13875" w14:textId="77777777" w:rsidR="00295199" w:rsidRPr="00AE67EF" w:rsidRDefault="00BF1841" w:rsidP="00AE67EF">
            <w:pPr>
              <w:tabs>
                <w:tab w:val="decimal" w:pos="451"/>
              </w:tabs>
              <w:spacing w:before="20" w:after="20" w:line="240" w:lineRule="auto"/>
              <w:jc w:val="both"/>
              <w:rPr>
                <w:rFonts w:ascii="Arial" w:hAnsi="Arial" w:cs="Arial"/>
                <w:sz w:val="22"/>
                <w:szCs w:val="22"/>
              </w:rPr>
            </w:pPr>
          </w:p>
        </w:tc>
      </w:tr>
      <w:tr w:rsidR="0024235B" w14:paraId="39215C6A" w14:textId="77777777" w:rsidTr="00081331">
        <w:tc>
          <w:tcPr>
            <w:tcW w:w="2552" w:type="dxa"/>
            <w:tcBorders>
              <w:bottom w:val="single" w:sz="4" w:space="0" w:color="auto"/>
            </w:tcBorders>
          </w:tcPr>
          <w:p w14:paraId="7551D1E9" w14:textId="77777777" w:rsidR="00295199" w:rsidRPr="00AE67EF" w:rsidRDefault="00922BB7"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Service support</w:t>
            </w:r>
          </w:p>
        </w:tc>
        <w:tc>
          <w:tcPr>
            <w:tcW w:w="1134" w:type="dxa"/>
            <w:tcBorders>
              <w:bottom w:val="single" w:sz="4" w:space="0" w:color="auto"/>
            </w:tcBorders>
            <w:vAlign w:val="center"/>
          </w:tcPr>
          <w:p w14:paraId="5EEED107"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1</w:t>
            </w:r>
          </w:p>
        </w:tc>
        <w:tc>
          <w:tcPr>
            <w:tcW w:w="1417" w:type="dxa"/>
            <w:tcBorders>
              <w:bottom w:val="single" w:sz="4" w:space="0" w:color="auto"/>
            </w:tcBorders>
            <w:vAlign w:val="center"/>
          </w:tcPr>
          <w:p w14:paraId="0AD5DD47" w14:textId="77777777" w:rsidR="00295199" w:rsidRPr="00AE67EF" w:rsidRDefault="00BF1841" w:rsidP="00AE67EF">
            <w:pPr>
              <w:tabs>
                <w:tab w:val="decimal" w:pos="736"/>
              </w:tabs>
              <w:spacing w:before="20" w:after="20" w:line="240" w:lineRule="auto"/>
              <w:jc w:val="both"/>
              <w:rPr>
                <w:rFonts w:ascii="Arial" w:hAnsi="Arial" w:cs="Arial"/>
                <w:sz w:val="22"/>
                <w:szCs w:val="22"/>
              </w:rPr>
            </w:pPr>
          </w:p>
        </w:tc>
        <w:tc>
          <w:tcPr>
            <w:tcW w:w="1276" w:type="dxa"/>
            <w:tcBorders>
              <w:bottom w:val="single" w:sz="4" w:space="0" w:color="auto"/>
            </w:tcBorders>
            <w:vAlign w:val="center"/>
          </w:tcPr>
          <w:p w14:paraId="49969734"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1</w:t>
            </w:r>
          </w:p>
        </w:tc>
        <w:tc>
          <w:tcPr>
            <w:tcW w:w="1134" w:type="dxa"/>
            <w:tcBorders>
              <w:bottom w:val="single" w:sz="4" w:space="0" w:color="auto"/>
            </w:tcBorders>
            <w:vAlign w:val="center"/>
          </w:tcPr>
          <w:p w14:paraId="31337863" w14:textId="77777777" w:rsidR="00295199" w:rsidRPr="00AE67EF" w:rsidRDefault="00BF1841" w:rsidP="00AE67EF">
            <w:pPr>
              <w:tabs>
                <w:tab w:val="decimal" w:pos="676"/>
              </w:tabs>
              <w:spacing w:before="20" w:after="20" w:line="240" w:lineRule="auto"/>
              <w:jc w:val="both"/>
              <w:rPr>
                <w:rFonts w:ascii="Arial" w:hAnsi="Arial" w:cs="Arial"/>
                <w:sz w:val="22"/>
                <w:szCs w:val="22"/>
              </w:rPr>
            </w:pPr>
          </w:p>
        </w:tc>
        <w:tc>
          <w:tcPr>
            <w:tcW w:w="992" w:type="dxa"/>
            <w:tcBorders>
              <w:bottom w:val="single" w:sz="4" w:space="0" w:color="auto"/>
            </w:tcBorders>
            <w:vAlign w:val="center"/>
          </w:tcPr>
          <w:p w14:paraId="1E9E4748" w14:textId="77777777" w:rsidR="00295199" w:rsidRPr="00AE67EF" w:rsidRDefault="00BF1841" w:rsidP="00AE67EF">
            <w:pPr>
              <w:tabs>
                <w:tab w:val="decimal" w:pos="451"/>
              </w:tabs>
              <w:spacing w:before="20" w:after="20" w:line="240" w:lineRule="auto"/>
              <w:jc w:val="both"/>
              <w:rPr>
                <w:rFonts w:ascii="Arial" w:hAnsi="Arial" w:cs="Arial"/>
                <w:sz w:val="22"/>
                <w:szCs w:val="22"/>
              </w:rPr>
            </w:pPr>
          </w:p>
        </w:tc>
      </w:tr>
      <w:tr w:rsidR="0024235B" w14:paraId="7A3F7464" w14:textId="77777777" w:rsidTr="00081331">
        <w:tc>
          <w:tcPr>
            <w:tcW w:w="2552" w:type="dxa"/>
            <w:tcBorders>
              <w:bottom w:val="single" w:sz="4" w:space="0" w:color="auto"/>
            </w:tcBorders>
          </w:tcPr>
          <w:p w14:paraId="4FE31E61" w14:textId="77777777" w:rsidR="00295199" w:rsidRPr="00AE67EF" w:rsidRDefault="00922BB7"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Business processes</w:t>
            </w:r>
          </w:p>
        </w:tc>
        <w:tc>
          <w:tcPr>
            <w:tcW w:w="1134" w:type="dxa"/>
            <w:tcBorders>
              <w:bottom w:val="single" w:sz="4" w:space="0" w:color="auto"/>
            </w:tcBorders>
            <w:vAlign w:val="center"/>
          </w:tcPr>
          <w:p w14:paraId="57116134" w14:textId="77777777" w:rsidR="00295199" w:rsidRPr="00AE67EF" w:rsidRDefault="00922BB7" w:rsidP="00AE67EF">
            <w:pPr>
              <w:tabs>
                <w:tab w:val="decimal" w:pos="616"/>
              </w:tabs>
              <w:spacing w:before="20" w:after="20" w:line="240" w:lineRule="auto"/>
              <w:jc w:val="both"/>
              <w:rPr>
                <w:rFonts w:ascii="Arial" w:hAnsi="Arial" w:cs="Arial"/>
                <w:sz w:val="22"/>
                <w:szCs w:val="22"/>
              </w:rPr>
            </w:pPr>
            <w:r w:rsidRPr="00AE67EF">
              <w:rPr>
                <w:rFonts w:ascii="Arial" w:hAnsi="Arial" w:cs="Arial"/>
                <w:sz w:val="22"/>
                <w:szCs w:val="22"/>
              </w:rPr>
              <w:t>2</w:t>
            </w:r>
          </w:p>
        </w:tc>
        <w:tc>
          <w:tcPr>
            <w:tcW w:w="1417" w:type="dxa"/>
            <w:tcBorders>
              <w:bottom w:val="single" w:sz="4" w:space="0" w:color="auto"/>
            </w:tcBorders>
            <w:vAlign w:val="center"/>
          </w:tcPr>
          <w:p w14:paraId="50CAEC4B" w14:textId="77777777" w:rsidR="00295199" w:rsidRPr="00AE67EF" w:rsidRDefault="00922BB7" w:rsidP="00AE67EF">
            <w:pPr>
              <w:tabs>
                <w:tab w:val="decimal" w:pos="736"/>
              </w:tabs>
              <w:spacing w:before="20" w:after="20" w:line="240" w:lineRule="auto"/>
              <w:jc w:val="both"/>
              <w:rPr>
                <w:rFonts w:ascii="Arial" w:hAnsi="Arial" w:cs="Arial"/>
                <w:sz w:val="22"/>
                <w:szCs w:val="22"/>
              </w:rPr>
            </w:pPr>
            <w:r w:rsidRPr="00AE67EF">
              <w:rPr>
                <w:rFonts w:ascii="Arial" w:hAnsi="Arial" w:cs="Arial"/>
                <w:sz w:val="22"/>
                <w:szCs w:val="22"/>
              </w:rPr>
              <w:t>2</w:t>
            </w:r>
          </w:p>
        </w:tc>
        <w:tc>
          <w:tcPr>
            <w:tcW w:w="1276" w:type="dxa"/>
            <w:tcBorders>
              <w:bottom w:val="single" w:sz="4" w:space="0" w:color="auto"/>
            </w:tcBorders>
            <w:vAlign w:val="center"/>
          </w:tcPr>
          <w:p w14:paraId="13D7E260" w14:textId="77777777" w:rsidR="00295199" w:rsidRPr="00AE67EF" w:rsidRDefault="00BF1841" w:rsidP="00AE67EF">
            <w:pPr>
              <w:tabs>
                <w:tab w:val="decimal" w:pos="616"/>
              </w:tabs>
              <w:spacing w:before="20" w:after="20" w:line="240" w:lineRule="auto"/>
              <w:jc w:val="both"/>
              <w:rPr>
                <w:rFonts w:ascii="Arial" w:hAnsi="Arial" w:cs="Arial"/>
                <w:sz w:val="22"/>
                <w:szCs w:val="22"/>
              </w:rPr>
            </w:pPr>
          </w:p>
        </w:tc>
        <w:tc>
          <w:tcPr>
            <w:tcW w:w="1134" w:type="dxa"/>
            <w:tcBorders>
              <w:bottom w:val="single" w:sz="4" w:space="0" w:color="auto"/>
            </w:tcBorders>
            <w:vAlign w:val="center"/>
          </w:tcPr>
          <w:p w14:paraId="5C142A48" w14:textId="77777777" w:rsidR="00295199" w:rsidRPr="00AE67EF" w:rsidRDefault="00BF1841" w:rsidP="00AE67EF">
            <w:pPr>
              <w:tabs>
                <w:tab w:val="decimal" w:pos="676"/>
              </w:tabs>
              <w:spacing w:before="20" w:after="20" w:line="240" w:lineRule="auto"/>
              <w:jc w:val="both"/>
              <w:rPr>
                <w:rFonts w:ascii="Arial" w:hAnsi="Arial" w:cs="Arial"/>
                <w:sz w:val="22"/>
                <w:szCs w:val="22"/>
              </w:rPr>
            </w:pPr>
          </w:p>
        </w:tc>
        <w:tc>
          <w:tcPr>
            <w:tcW w:w="992" w:type="dxa"/>
            <w:tcBorders>
              <w:bottom w:val="single" w:sz="4" w:space="0" w:color="auto"/>
            </w:tcBorders>
            <w:vAlign w:val="center"/>
          </w:tcPr>
          <w:p w14:paraId="0CA6E8D9" w14:textId="77777777" w:rsidR="00295199" w:rsidRPr="00AE67EF" w:rsidRDefault="00BF1841" w:rsidP="00AE67EF">
            <w:pPr>
              <w:tabs>
                <w:tab w:val="decimal" w:pos="451"/>
              </w:tabs>
              <w:spacing w:before="20" w:after="20" w:line="240" w:lineRule="auto"/>
              <w:jc w:val="both"/>
              <w:rPr>
                <w:rFonts w:ascii="Arial" w:hAnsi="Arial" w:cs="Arial"/>
                <w:sz w:val="22"/>
                <w:szCs w:val="22"/>
              </w:rPr>
            </w:pPr>
          </w:p>
        </w:tc>
      </w:tr>
      <w:tr w:rsidR="0024235B" w14:paraId="7BD518AA" w14:textId="77777777" w:rsidTr="00081331">
        <w:tc>
          <w:tcPr>
            <w:tcW w:w="2552" w:type="dxa"/>
            <w:vMerge w:val="restart"/>
          </w:tcPr>
          <w:p w14:paraId="6F611CEE" w14:textId="77777777" w:rsidR="00295199" w:rsidRPr="00AE67EF" w:rsidRDefault="00922BB7" w:rsidP="00AE67EF">
            <w:pPr>
              <w:tabs>
                <w:tab w:val="left" w:pos="284"/>
              </w:tabs>
              <w:spacing w:before="20" w:after="20" w:line="240" w:lineRule="auto"/>
              <w:jc w:val="both"/>
              <w:rPr>
                <w:rFonts w:ascii="Arial" w:hAnsi="Arial" w:cs="Arial"/>
                <w:b/>
                <w:sz w:val="22"/>
                <w:szCs w:val="22"/>
              </w:rPr>
            </w:pPr>
            <w:r w:rsidRPr="00AE67EF">
              <w:rPr>
                <w:rFonts w:ascii="Arial" w:hAnsi="Arial" w:cs="Arial"/>
                <w:b/>
                <w:sz w:val="22"/>
                <w:szCs w:val="22"/>
              </w:rPr>
              <w:t>2019/20 assignments: total to date</w:t>
            </w:r>
          </w:p>
        </w:tc>
        <w:tc>
          <w:tcPr>
            <w:tcW w:w="1134" w:type="dxa"/>
          </w:tcPr>
          <w:p w14:paraId="7B9FD95B" w14:textId="77777777" w:rsidR="00295199" w:rsidRPr="00AE67EF" w:rsidRDefault="00922BB7" w:rsidP="00AE67EF">
            <w:pPr>
              <w:tabs>
                <w:tab w:val="decimal" w:pos="616"/>
              </w:tabs>
              <w:spacing w:before="20" w:after="20" w:line="240" w:lineRule="auto"/>
              <w:jc w:val="both"/>
              <w:rPr>
                <w:rFonts w:ascii="Arial" w:hAnsi="Arial" w:cs="Arial"/>
                <w:b/>
                <w:sz w:val="22"/>
                <w:szCs w:val="22"/>
              </w:rPr>
            </w:pPr>
            <w:r w:rsidRPr="00AE67EF">
              <w:rPr>
                <w:rFonts w:ascii="Arial" w:hAnsi="Arial" w:cs="Arial"/>
                <w:b/>
                <w:sz w:val="22"/>
                <w:szCs w:val="22"/>
              </w:rPr>
              <w:t>10</w:t>
            </w:r>
          </w:p>
        </w:tc>
        <w:tc>
          <w:tcPr>
            <w:tcW w:w="1417" w:type="dxa"/>
          </w:tcPr>
          <w:p w14:paraId="3E6284D9" w14:textId="77777777" w:rsidR="00295199" w:rsidRPr="00AE67EF" w:rsidRDefault="00922BB7" w:rsidP="00AE67EF">
            <w:pPr>
              <w:tabs>
                <w:tab w:val="decimal" w:pos="736"/>
              </w:tabs>
              <w:spacing w:before="20" w:after="20" w:line="240" w:lineRule="auto"/>
              <w:jc w:val="both"/>
              <w:rPr>
                <w:rFonts w:ascii="Arial" w:hAnsi="Arial" w:cs="Arial"/>
                <w:b/>
                <w:bCs/>
                <w:sz w:val="22"/>
                <w:szCs w:val="22"/>
              </w:rPr>
            </w:pPr>
            <w:r w:rsidRPr="00AE67EF">
              <w:rPr>
                <w:rFonts w:ascii="Arial" w:hAnsi="Arial" w:cs="Arial"/>
                <w:b/>
                <w:bCs/>
                <w:sz w:val="22"/>
                <w:szCs w:val="22"/>
              </w:rPr>
              <w:t>5</w:t>
            </w:r>
          </w:p>
        </w:tc>
        <w:tc>
          <w:tcPr>
            <w:tcW w:w="1276" w:type="dxa"/>
          </w:tcPr>
          <w:p w14:paraId="648F5E5C" w14:textId="77777777" w:rsidR="00295199" w:rsidRPr="00AE67EF" w:rsidRDefault="00922BB7" w:rsidP="00AE67EF">
            <w:pPr>
              <w:tabs>
                <w:tab w:val="decimal" w:pos="616"/>
              </w:tabs>
              <w:spacing w:before="20" w:after="20" w:line="240" w:lineRule="auto"/>
              <w:jc w:val="both"/>
              <w:rPr>
                <w:rFonts w:ascii="Arial" w:hAnsi="Arial" w:cs="Arial"/>
                <w:b/>
                <w:bCs/>
                <w:sz w:val="22"/>
                <w:szCs w:val="22"/>
              </w:rPr>
            </w:pPr>
            <w:r w:rsidRPr="00AE67EF">
              <w:rPr>
                <w:rFonts w:ascii="Arial" w:hAnsi="Arial" w:cs="Arial"/>
                <w:b/>
                <w:bCs/>
                <w:sz w:val="22"/>
                <w:szCs w:val="22"/>
              </w:rPr>
              <w:t>4</w:t>
            </w:r>
          </w:p>
        </w:tc>
        <w:tc>
          <w:tcPr>
            <w:tcW w:w="1134" w:type="dxa"/>
          </w:tcPr>
          <w:p w14:paraId="6B23CDFB" w14:textId="77777777" w:rsidR="00295199" w:rsidRPr="00AE67EF" w:rsidRDefault="00922BB7" w:rsidP="00AE67EF">
            <w:pPr>
              <w:tabs>
                <w:tab w:val="decimal" w:pos="676"/>
              </w:tabs>
              <w:spacing w:before="20" w:after="20" w:line="240" w:lineRule="auto"/>
              <w:jc w:val="both"/>
              <w:rPr>
                <w:rFonts w:ascii="Arial" w:hAnsi="Arial" w:cs="Arial"/>
                <w:b/>
                <w:bCs/>
                <w:sz w:val="22"/>
                <w:szCs w:val="22"/>
              </w:rPr>
            </w:pPr>
            <w:r w:rsidRPr="00AE67EF">
              <w:rPr>
                <w:rFonts w:ascii="Arial" w:hAnsi="Arial" w:cs="Arial"/>
                <w:b/>
                <w:bCs/>
                <w:sz w:val="22"/>
                <w:szCs w:val="22"/>
              </w:rPr>
              <w:t>1</w:t>
            </w:r>
          </w:p>
        </w:tc>
        <w:tc>
          <w:tcPr>
            <w:tcW w:w="992" w:type="dxa"/>
          </w:tcPr>
          <w:p w14:paraId="57A1F8DD" w14:textId="77777777" w:rsidR="00295199" w:rsidRPr="00AE67EF" w:rsidRDefault="00922BB7" w:rsidP="00AE67EF">
            <w:pPr>
              <w:tabs>
                <w:tab w:val="decimal" w:pos="451"/>
              </w:tabs>
              <w:spacing w:before="20" w:after="20" w:line="240" w:lineRule="auto"/>
              <w:jc w:val="both"/>
              <w:rPr>
                <w:rFonts w:ascii="Arial" w:hAnsi="Arial" w:cs="Arial"/>
                <w:b/>
                <w:bCs/>
                <w:sz w:val="22"/>
                <w:szCs w:val="22"/>
              </w:rPr>
            </w:pPr>
            <w:r w:rsidRPr="00AE67EF">
              <w:rPr>
                <w:rFonts w:ascii="Arial" w:hAnsi="Arial" w:cs="Arial"/>
                <w:b/>
                <w:bCs/>
                <w:sz w:val="22"/>
                <w:szCs w:val="22"/>
              </w:rPr>
              <w:t>-</w:t>
            </w:r>
          </w:p>
        </w:tc>
      </w:tr>
      <w:tr w:rsidR="0024235B" w14:paraId="4DA8AB07" w14:textId="77777777" w:rsidTr="00081331">
        <w:tc>
          <w:tcPr>
            <w:tcW w:w="2552" w:type="dxa"/>
            <w:vMerge/>
            <w:tcBorders>
              <w:bottom w:val="double" w:sz="4" w:space="0" w:color="auto"/>
            </w:tcBorders>
          </w:tcPr>
          <w:p w14:paraId="39201E8E" w14:textId="77777777" w:rsidR="00295199" w:rsidRPr="00AE67EF" w:rsidRDefault="00BF1841" w:rsidP="00AE67EF">
            <w:pPr>
              <w:tabs>
                <w:tab w:val="left" w:pos="284"/>
              </w:tabs>
              <w:spacing w:before="20" w:after="20" w:line="240" w:lineRule="auto"/>
              <w:jc w:val="both"/>
              <w:rPr>
                <w:rFonts w:ascii="Arial" w:hAnsi="Arial" w:cs="Arial"/>
                <w:b/>
                <w:sz w:val="22"/>
                <w:szCs w:val="22"/>
              </w:rPr>
            </w:pPr>
          </w:p>
        </w:tc>
        <w:tc>
          <w:tcPr>
            <w:tcW w:w="1134" w:type="dxa"/>
            <w:tcBorders>
              <w:bottom w:val="double" w:sz="4" w:space="0" w:color="auto"/>
            </w:tcBorders>
            <w:vAlign w:val="center"/>
          </w:tcPr>
          <w:p w14:paraId="2040FD89" w14:textId="77777777" w:rsidR="00295199" w:rsidRPr="00AE67EF" w:rsidRDefault="00922BB7" w:rsidP="00AE67EF">
            <w:pPr>
              <w:tabs>
                <w:tab w:val="decimal" w:pos="616"/>
              </w:tabs>
              <w:spacing w:before="20" w:after="20" w:line="240" w:lineRule="auto"/>
              <w:jc w:val="both"/>
              <w:rPr>
                <w:rFonts w:ascii="Arial" w:hAnsi="Arial" w:cs="Arial"/>
                <w:b/>
                <w:sz w:val="22"/>
                <w:szCs w:val="22"/>
              </w:rPr>
            </w:pPr>
            <w:r w:rsidRPr="00AE67EF">
              <w:rPr>
                <w:rFonts w:ascii="Arial" w:hAnsi="Arial" w:cs="Arial"/>
                <w:sz w:val="22"/>
                <w:szCs w:val="22"/>
              </w:rPr>
              <w:t>100%</w:t>
            </w:r>
          </w:p>
        </w:tc>
        <w:tc>
          <w:tcPr>
            <w:tcW w:w="1417" w:type="dxa"/>
            <w:tcBorders>
              <w:bottom w:val="double" w:sz="4" w:space="0" w:color="auto"/>
            </w:tcBorders>
            <w:vAlign w:val="center"/>
          </w:tcPr>
          <w:p w14:paraId="784B4356" w14:textId="77777777" w:rsidR="00295199" w:rsidRPr="00AE67EF" w:rsidRDefault="00922BB7" w:rsidP="00AE67EF">
            <w:pPr>
              <w:tabs>
                <w:tab w:val="decimal" w:pos="736"/>
              </w:tabs>
              <w:spacing w:before="20" w:after="20" w:line="240" w:lineRule="auto"/>
              <w:jc w:val="both"/>
              <w:rPr>
                <w:rFonts w:ascii="Arial" w:hAnsi="Arial" w:cs="Arial"/>
                <w:bCs/>
                <w:sz w:val="22"/>
                <w:szCs w:val="22"/>
              </w:rPr>
            </w:pPr>
            <w:r w:rsidRPr="00AE67EF">
              <w:rPr>
                <w:rFonts w:ascii="Arial" w:hAnsi="Arial" w:cs="Arial"/>
                <w:bCs/>
                <w:sz w:val="22"/>
                <w:szCs w:val="22"/>
              </w:rPr>
              <w:t>50%</w:t>
            </w:r>
          </w:p>
        </w:tc>
        <w:tc>
          <w:tcPr>
            <w:tcW w:w="1276" w:type="dxa"/>
            <w:tcBorders>
              <w:bottom w:val="double" w:sz="4" w:space="0" w:color="auto"/>
            </w:tcBorders>
            <w:vAlign w:val="center"/>
          </w:tcPr>
          <w:p w14:paraId="7A6340E3" w14:textId="77777777" w:rsidR="00295199" w:rsidRPr="00AE67EF" w:rsidRDefault="00922BB7" w:rsidP="00AE67EF">
            <w:pPr>
              <w:tabs>
                <w:tab w:val="decimal" w:pos="616"/>
              </w:tabs>
              <w:spacing w:before="20" w:after="20" w:line="240" w:lineRule="auto"/>
              <w:jc w:val="both"/>
              <w:rPr>
                <w:rFonts w:ascii="Arial" w:hAnsi="Arial" w:cs="Arial"/>
                <w:bCs/>
                <w:sz w:val="22"/>
                <w:szCs w:val="22"/>
              </w:rPr>
            </w:pPr>
            <w:r w:rsidRPr="00AE67EF">
              <w:rPr>
                <w:rFonts w:ascii="Arial" w:hAnsi="Arial" w:cs="Arial"/>
                <w:bCs/>
                <w:sz w:val="22"/>
                <w:szCs w:val="22"/>
              </w:rPr>
              <w:t>40%</w:t>
            </w:r>
          </w:p>
        </w:tc>
        <w:tc>
          <w:tcPr>
            <w:tcW w:w="1134" w:type="dxa"/>
            <w:tcBorders>
              <w:bottom w:val="double" w:sz="4" w:space="0" w:color="auto"/>
            </w:tcBorders>
            <w:vAlign w:val="center"/>
          </w:tcPr>
          <w:p w14:paraId="4CBD2E0A" w14:textId="77777777" w:rsidR="00295199" w:rsidRPr="00AE67EF" w:rsidRDefault="00922BB7" w:rsidP="00AE67EF">
            <w:pPr>
              <w:tabs>
                <w:tab w:val="decimal" w:pos="676"/>
              </w:tabs>
              <w:spacing w:before="20" w:after="20" w:line="240" w:lineRule="auto"/>
              <w:jc w:val="both"/>
              <w:rPr>
                <w:rFonts w:ascii="Arial" w:hAnsi="Arial" w:cs="Arial"/>
                <w:bCs/>
                <w:sz w:val="22"/>
                <w:szCs w:val="22"/>
              </w:rPr>
            </w:pPr>
            <w:r w:rsidRPr="00AE67EF">
              <w:rPr>
                <w:rFonts w:ascii="Arial" w:hAnsi="Arial" w:cs="Arial"/>
                <w:bCs/>
                <w:sz w:val="22"/>
                <w:szCs w:val="22"/>
              </w:rPr>
              <w:t>10%</w:t>
            </w:r>
          </w:p>
        </w:tc>
        <w:tc>
          <w:tcPr>
            <w:tcW w:w="992" w:type="dxa"/>
            <w:tcBorders>
              <w:bottom w:val="double" w:sz="4" w:space="0" w:color="auto"/>
            </w:tcBorders>
            <w:vAlign w:val="center"/>
          </w:tcPr>
          <w:p w14:paraId="109C0CED" w14:textId="77777777" w:rsidR="00295199" w:rsidRPr="00AE67EF" w:rsidRDefault="00922BB7" w:rsidP="00AE67EF">
            <w:pPr>
              <w:tabs>
                <w:tab w:val="decimal" w:pos="451"/>
              </w:tabs>
              <w:spacing w:before="20" w:after="20" w:line="240" w:lineRule="auto"/>
              <w:jc w:val="both"/>
              <w:rPr>
                <w:rFonts w:ascii="Arial" w:hAnsi="Arial" w:cs="Arial"/>
                <w:bCs/>
                <w:sz w:val="22"/>
                <w:szCs w:val="22"/>
              </w:rPr>
            </w:pPr>
            <w:r w:rsidRPr="00AE67EF">
              <w:rPr>
                <w:rFonts w:ascii="Arial" w:hAnsi="Arial" w:cs="Arial"/>
                <w:bCs/>
                <w:sz w:val="22"/>
                <w:szCs w:val="22"/>
              </w:rPr>
              <w:t>-</w:t>
            </w:r>
          </w:p>
        </w:tc>
      </w:tr>
    </w:tbl>
    <w:p w14:paraId="5AB5F798" w14:textId="77777777" w:rsidR="005245D1" w:rsidRDefault="00922BB7" w:rsidP="00EB15E9">
      <w:pPr>
        <w:pStyle w:val="Rparagraph"/>
      </w:pPr>
      <w:r>
        <w:t>B</w:t>
      </w:r>
      <w:r w:rsidRPr="00AD5BD2">
        <w:t>rief information about the outcomes of each of the audit engagements competed</w:t>
      </w:r>
      <w:r>
        <w:t xml:space="preserve"> is set out in section 5 onwards</w:t>
      </w:r>
      <w:r w:rsidRPr="00AD5BD2">
        <w:t>.</w:t>
      </w:r>
      <w:r>
        <w:t xml:space="preserve"> As described in the audit plan for the year, audit work may be directed towards understanding the control framework of a service, system or process (the first phase of a full audit), testing the operation of an established control framework (the second phase of a full audit), or both (a full risk and control evaluation audit). Each audit in the plan has therefore accordingly been designated as 'type 1', 'type 2' or 'type 1+2', and this broadly indicates the scope of the assurance we can give.</w:t>
      </w:r>
    </w:p>
    <w:p w14:paraId="11E86A13" w14:textId="77777777" w:rsidR="00A23158" w:rsidRDefault="00922BB7" w:rsidP="00951213">
      <w:pPr>
        <w:pStyle w:val="Rheading"/>
      </w:pPr>
      <w:r>
        <w:t>Amendments to the audit plan for 2019/20</w:t>
      </w:r>
    </w:p>
    <w:p w14:paraId="1C3A04F1" w14:textId="12577EAE" w:rsidR="00384DD9" w:rsidRDefault="00922BB7" w:rsidP="00D63276">
      <w:pPr>
        <w:pStyle w:val="Rparagraph"/>
      </w:pPr>
      <w:r>
        <w:t xml:space="preserve">The audit plan must necessarily be flexible, as was noted when the audit plan was agreed, and </w:t>
      </w:r>
      <w:r w:rsidR="00714DA1">
        <w:t>a</w:t>
      </w:r>
      <w:r>
        <w:t xml:space="preserve"> small </w:t>
      </w:r>
      <w:r w:rsidR="00714DA1">
        <w:t xml:space="preserve">number of </w:t>
      </w:r>
      <w:r>
        <w:t>changes</w:t>
      </w:r>
      <w:r w:rsidR="00714DA1">
        <w:t xml:space="preserve"> have been </w:t>
      </w:r>
      <w:r w:rsidR="00E54290">
        <w:t>ma</w:t>
      </w:r>
      <w:r w:rsidR="00714DA1">
        <w:t>d</w:t>
      </w:r>
      <w:r w:rsidR="00E54290">
        <w:t>e</w:t>
      </w:r>
      <w:r>
        <w:t>.</w:t>
      </w:r>
    </w:p>
    <w:p w14:paraId="78DC4134" w14:textId="41A3A55B" w:rsidR="00D63276" w:rsidRDefault="00922BB7" w:rsidP="00D63276">
      <w:pPr>
        <w:pStyle w:val="Rparagraph"/>
      </w:pPr>
      <w:r>
        <w:t>Following the decision not to extend the council's contract with BT Lancashire Services Ltd but instead to bring the services back into the council, the audit of the contract renegotiation process has become an audit of the arrangements being made to prepare for the return of services. We have already started work with the director involved to understand the council's approach to this.</w:t>
      </w:r>
    </w:p>
    <w:p w14:paraId="34BE55D0" w14:textId="1BE16ED6" w:rsidR="00D71995" w:rsidRDefault="00922BB7" w:rsidP="00D71995">
      <w:pPr>
        <w:pStyle w:val="Rparagraph"/>
      </w:pPr>
      <w:r>
        <w:t xml:space="preserve">A revised </w:t>
      </w:r>
      <w:r w:rsidR="008E73F0">
        <w:t xml:space="preserve">social care </w:t>
      </w:r>
      <w:r w:rsidR="00AF6C8A">
        <w:t xml:space="preserve">safeguarding model </w:t>
      </w:r>
      <w:r>
        <w:t>is being developed</w:t>
      </w:r>
      <w:r w:rsidR="00AF6C8A">
        <w:t>, with new funding from the Department for Education,</w:t>
      </w:r>
      <w:r>
        <w:t xml:space="preserve"> </w:t>
      </w:r>
      <w:r w:rsidR="008E73F0">
        <w:t xml:space="preserve">which will </w:t>
      </w:r>
      <w:r w:rsidR="00AF6C8A">
        <w:t xml:space="preserve">considerably </w:t>
      </w:r>
      <w:r w:rsidR="008E73F0">
        <w:t xml:space="preserve">impact the </w:t>
      </w:r>
      <w:r w:rsidR="00AF6C8A">
        <w:lastRenderedPageBreak/>
        <w:t xml:space="preserve">allocation of social workers and the </w:t>
      </w:r>
      <w:r>
        <w:t>manage</w:t>
      </w:r>
      <w:r w:rsidR="008E73F0">
        <w:t>ment of</w:t>
      </w:r>
      <w:r>
        <w:t xml:space="preserve"> caseloads within </w:t>
      </w:r>
      <w:r w:rsidRPr="00D71995">
        <w:t>Children's Social Care</w:t>
      </w:r>
      <w:r w:rsidR="00AF6C8A">
        <w:t xml:space="preserve">. We </w:t>
      </w:r>
      <w:r>
        <w:t>have therefore agreed to defer the audit of the control framework until 2020/21 when it will be better established.</w:t>
      </w:r>
    </w:p>
    <w:p w14:paraId="04EED206" w14:textId="77777777" w:rsidR="00EC3F4D" w:rsidRDefault="00922BB7" w:rsidP="00384DD9">
      <w:pPr>
        <w:pStyle w:val="Rparagraph"/>
      </w:pPr>
      <w:r>
        <w:t>The arrangements supporting renewed oversight of the contracts to operate the schools in Burnley under the former Building Schools for the Future programme are also still being developed. The senior managers involved are doing a lot of work to implement revised arrangements and the audit will therefore be deferred into 2020/21.</w:t>
      </w:r>
    </w:p>
    <w:p w14:paraId="58FBF244" w14:textId="719F6B08" w:rsidR="00384DD9" w:rsidRDefault="00922BB7" w:rsidP="001C131B">
      <w:pPr>
        <w:pStyle w:val="Rparagraph"/>
      </w:pPr>
      <w:r>
        <w:t xml:space="preserve">We had planned to undertake an audit to understand the improvements being made to the Property Asset Management System (PAMS) that would have been similar to the work we have previously done on the Highways Asset Management System (HAMS). However improvements to PAMS are </w:t>
      </w:r>
      <w:r w:rsidR="00FA0455">
        <w:t>being addressed at</w:t>
      </w:r>
      <w:r>
        <w:t xml:space="preserve"> service </w:t>
      </w:r>
      <w:r w:rsidR="00FA0455">
        <w:t>level reflecting the different specialisms and nature of the work areas</w:t>
      </w:r>
      <w:r>
        <w:t xml:space="preserve">. This is </w:t>
      </w:r>
      <w:r w:rsidR="00FA0455">
        <w:t>informed by</w:t>
      </w:r>
      <w:r>
        <w:t xml:space="preserve"> other </w:t>
      </w:r>
      <w:r w:rsidR="00FA0455">
        <w:t xml:space="preserve">ongoing </w:t>
      </w:r>
      <w:r>
        <w:t>audit work on the m</w:t>
      </w:r>
      <w:r w:rsidRPr="00AA66DC">
        <w:t xml:space="preserve">anagement and monitoring of </w:t>
      </w:r>
      <w:r>
        <w:t xml:space="preserve">changes to the council's core </w:t>
      </w:r>
      <w:r w:rsidRPr="00AA66DC">
        <w:t>system</w:t>
      </w:r>
      <w:r>
        <w:t xml:space="preserve">s, </w:t>
      </w:r>
      <w:r w:rsidR="00FA0455">
        <w:t xml:space="preserve">as well as </w:t>
      </w:r>
      <w:r>
        <w:t xml:space="preserve">work reported in 2018/19 on the Design &amp; Construction Service, where in both cases individual specialist modules have been implemented. </w:t>
      </w:r>
    </w:p>
    <w:p w14:paraId="5489FC7C" w14:textId="3F6A7994" w:rsidR="004B5254" w:rsidRDefault="00922BB7" w:rsidP="004B5254">
      <w:pPr>
        <w:pStyle w:val="Rparagraph"/>
      </w:pPr>
      <w:r>
        <w:t xml:space="preserve">The programme of audit work on the council's ICT risks has been revised to focus more closely on </w:t>
      </w:r>
      <w:r w:rsidRPr="004B5254">
        <w:t>service management arrangements within BTLS and the council's Core Systems Team</w:t>
      </w:r>
      <w:r>
        <w:t xml:space="preserve">, and on the operation of the </w:t>
      </w:r>
      <w:proofErr w:type="spellStart"/>
      <w:r>
        <w:t>Liquidlogic</w:t>
      </w:r>
      <w:proofErr w:type="spellEnd"/>
      <w:r>
        <w:t xml:space="preserve"> Adults System (LAS) as a fundamental system. The other audits on this ICT audit programme have </w:t>
      </w:r>
      <w:r w:rsidR="008E73F0">
        <w:t xml:space="preserve">therefore </w:t>
      </w:r>
      <w:r>
        <w:t xml:space="preserve">been removed from the plan. The two audits remaining from the 2018/19 ICT audit programme have been added to this year's plan and one has now been reported, on ICT Service governance (see </w:t>
      </w:r>
      <w:r w:rsidR="008E73F0">
        <w:t>below</w:t>
      </w:r>
      <w:r>
        <w:t>).</w:t>
      </w:r>
    </w:p>
    <w:p w14:paraId="4CA7FC75" w14:textId="77777777" w:rsidR="00E0099B" w:rsidRDefault="00922BB7" w:rsidP="00E0099B">
      <w:pPr>
        <w:pStyle w:val="Rheading"/>
      </w:pPr>
      <w:r>
        <w:t>Follow-up work</w:t>
      </w:r>
    </w:p>
    <w:p w14:paraId="3415CFCF" w14:textId="6EB1E6BA" w:rsidR="003265CC" w:rsidRDefault="00922BB7" w:rsidP="00FA0455">
      <w:pPr>
        <w:pStyle w:val="Rparagraph"/>
      </w:pPr>
      <w:r w:rsidRPr="00743805">
        <w:t>During 201</w:t>
      </w:r>
      <w:r>
        <w:t>9/20</w:t>
      </w:r>
      <w:r w:rsidRPr="00743805">
        <w:t xml:space="preserve"> the Internal Audit Service </w:t>
      </w:r>
      <w:r>
        <w:t>will follow up the action reported by the council as having been taken and some of this work has begun.</w:t>
      </w:r>
      <w:r w:rsidR="008E73F0">
        <w:t xml:space="preserve"> </w:t>
      </w:r>
      <w:r>
        <w:t>M</w:t>
      </w:r>
      <w:r w:rsidRPr="00743805">
        <w:t xml:space="preserve">anagers' own assessments </w:t>
      </w:r>
      <w:r w:rsidR="00FA0455">
        <w:t>of these</w:t>
      </w:r>
      <w:r w:rsidR="00FA0455" w:rsidRPr="00743805">
        <w:t xml:space="preserve"> </w:t>
      </w:r>
      <w:r w:rsidRPr="00743805">
        <w:t>action</w:t>
      </w:r>
      <w:r w:rsidR="00FA0455">
        <w:t>s</w:t>
      </w:r>
      <w:r w:rsidRPr="00743805">
        <w:t xml:space="preserve"> </w:t>
      </w:r>
      <w:r>
        <w:t>are as follows:</w:t>
      </w:r>
    </w:p>
    <w:tbl>
      <w:tblPr>
        <w:tblStyle w:val="TableGrid"/>
        <w:tblW w:w="8500" w:type="dxa"/>
        <w:tblInd w:w="567" w:type="dxa"/>
        <w:tblLayout w:type="fixed"/>
        <w:tblLook w:val="04A0" w:firstRow="1" w:lastRow="0" w:firstColumn="1" w:lastColumn="0" w:noHBand="0" w:noVBand="1"/>
      </w:tblPr>
      <w:tblGrid>
        <w:gridCol w:w="1271"/>
        <w:gridCol w:w="992"/>
        <w:gridCol w:w="993"/>
        <w:gridCol w:w="992"/>
        <w:gridCol w:w="709"/>
        <w:gridCol w:w="850"/>
        <w:gridCol w:w="851"/>
        <w:gridCol w:w="1134"/>
        <w:gridCol w:w="708"/>
      </w:tblGrid>
      <w:tr w:rsidR="0024235B" w14:paraId="6C7B21C5" w14:textId="77777777" w:rsidTr="00743805">
        <w:trPr>
          <w:trHeight w:val="343"/>
        </w:trPr>
        <w:tc>
          <w:tcPr>
            <w:tcW w:w="8500" w:type="dxa"/>
            <w:gridSpan w:val="9"/>
            <w:shd w:val="clear" w:color="auto" w:fill="D9D9D9" w:themeFill="background1" w:themeFillShade="D9"/>
          </w:tcPr>
          <w:p w14:paraId="43D20E4B" w14:textId="77777777" w:rsidR="004F57D5" w:rsidRPr="003A3E48" w:rsidRDefault="00922BB7" w:rsidP="005245D1">
            <w:pPr>
              <w:pStyle w:val="Rquotation"/>
              <w:spacing w:before="20" w:after="20"/>
              <w:ind w:left="0"/>
              <w:rPr>
                <w:rFonts w:cs="Arial"/>
                <w:b/>
                <w:szCs w:val="24"/>
              </w:rPr>
            </w:pPr>
            <w:r w:rsidRPr="003A3E48">
              <w:rPr>
                <w:rFonts w:cs="Arial"/>
                <w:b/>
                <w:szCs w:val="24"/>
              </w:rPr>
              <w:t xml:space="preserve">Numbers of actions agreed </w:t>
            </w:r>
            <w:r>
              <w:rPr>
                <w:rFonts w:cs="Arial"/>
                <w:b/>
                <w:szCs w:val="24"/>
              </w:rPr>
              <w:t>in</w:t>
            </w:r>
            <w:r w:rsidRPr="003A3E48">
              <w:rPr>
                <w:rFonts w:cs="Arial"/>
                <w:b/>
                <w:szCs w:val="24"/>
              </w:rPr>
              <w:t xml:space="preserve"> 2017/18, 2018/19 and 2019/20 </w:t>
            </w:r>
            <w:r>
              <w:rPr>
                <w:rFonts w:cs="Arial"/>
                <w:b/>
                <w:szCs w:val="24"/>
              </w:rPr>
              <w:t xml:space="preserve">and now </w:t>
            </w:r>
            <w:r w:rsidRPr="003A3E48">
              <w:rPr>
                <w:rFonts w:cs="Arial"/>
                <w:b/>
                <w:szCs w:val="24"/>
              </w:rPr>
              <w:t>due</w:t>
            </w:r>
          </w:p>
        </w:tc>
      </w:tr>
      <w:tr w:rsidR="0024235B" w14:paraId="032F58FC" w14:textId="77777777" w:rsidTr="000030BA">
        <w:trPr>
          <w:trHeight w:val="343"/>
        </w:trPr>
        <w:tc>
          <w:tcPr>
            <w:tcW w:w="2263" w:type="dxa"/>
            <w:gridSpan w:val="2"/>
            <w:tcBorders>
              <w:bottom w:val="nil"/>
              <w:right w:val="single" w:sz="4" w:space="0" w:color="auto"/>
            </w:tcBorders>
            <w:shd w:val="clear" w:color="auto" w:fill="FFFFFF" w:themeFill="background1"/>
          </w:tcPr>
          <w:p w14:paraId="4ACB6A31" w14:textId="77777777" w:rsidR="004F57D5" w:rsidRPr="000030BA" w:rsidRDefault="00922BB7" w:rsidP="005245D1">
            <w:pPr>
              <w:pStyle w:val="Rquotation"/>
              <w:spacing w:before="20" w:after="20"/>
              <w:ind w:left="0"/>
              <w:rPr>
                <w:rFonts w:cs="Arial"/>
                <w:b/>
                <w:sz w:val="22"/>
              </w:rPr>
            </w:pPr>
            <w:r w:rsidRPr="000030BA">
              <w:rPr>
                <w:rFonts w:cs="Arial"/>
                <w:b/>
                <w:sz w:val="22"/>
              </w:rPr>
              <w:t>Action status</w:t>
            </w:r>
          </w:p>
        </w:tc>
        <w:tc>
          <w:tcPr>
            <w:tcW w:w="1985" w:type="dxa"/>
            <w:gridSpan w:val="2"/>
            <w:shd w:val="clear" w:color="auto" w:fill="D9D9D9" w:themeFill="background1" w:themeFillShade="D9"/>
          </w:tcPr>
          <w:p w14:paraId="78B5BBBB" w14:textId="77777777" w:rsidR="004F57D5" w:rsidRPr="000030BA" w:rsidRDefault="00922BB7" w:rsidP="005245D1">
            <w:pPr>
              <w:pStyle w:val="Rquotation"/>
              <w:spacing w:before="20" w:after="20"/>
              <w:ind w:left="0"/>
              <w:rPr>
                <w:rFonts w:cs="Arial"/>
                <w:b/>
                <w:sz w:val="22"/>
              </w:rPr>
            </w:pPr>
            <w:r w:rsidRPr="000030BA">
              <w:rPr>
                <w:rFonts w:cs="Arial"/>
                <w:b/>
                <w:sz w:val="22"/>
              </w:rPr>
              <w:t>As at June 2019*</w:t>
            </w:r>
          </w:p>
        </w:tc>
        <w:tc>
          <w:tcPr>
            <w:tcW w:w="4252" w:type="dxa"/>
            <w:gridSpan w:val="5"/>
            <w:shd w:val="clear" w:color="auto" w:fill="D9D9D9" w:themeFill="background1" w:themeFillShade="D9"/>
          </w:tcPr>
          <w:p w14:paraId="6EEFDE48" w14:textId="77777777" w:rsidR="004F57D5" w:rsidRPr="000030BA" w:rsidRDefault="00922BB7" w:rsidP="005245D1">
            <w:pPr>
              <w:pStyle w:val="Rquotation"/>
              <w:spacing w:before="20" w:after="20"/>
              <w:ind w:left="0"/>
              <w:rPr>
                <w:rFonts w:cs="Arial"/>
                <w:b/>
                <w:sz w:val="22"/>
              </w:rPr>
            </w:pPr>
            <w:r w:rsidRPr="000030BA">
              <w:rPr>
                <w:rFonts w:cs="Arial"/>
                <w:b/>
                <w:sz w:val="22"/>
              </w:rPr>
              <w:t>As at September 2019</w:t>
            </w:r>
          </w:p>
        </w:tc>
      </w:tr>
      <w:tr w:rsidR="0024235B" w14:paraId="1D5D0F62" w14:textId="77777777" w:rsidTr="005245D1">
        <w:trPr>
          <w:trHeight w:val="207"/>
        </w:trPr>
        <w:tc>
          <w:tcPr>
            <w:tcW w:w="2263" w:type="dxa"/>
            <w:gridSpan w:val="2"/>
            <w:vMerge w:val="restart"/>
            <w:tcBorders>
              <w:top w:val="nil"/>
              <w:right w:val="single" w:sz="4" w:space="0" w:color="auto"/>
            </w:tcBorders>
          </w:tcPr>
          <w:p w14:paraId="4A757385" w14:textId="77777777" w:rsidR="004F57D5" w:rsidRPr="000030BA" w:rsidRDefault="00BF1841" w:rsidP="005245D1">
            <w:pPr>
              <w:pStyle w:val="Rquotation"/>
              <w:spacing w:before="20" w:after="20"/>
              <w:ind w:left="0"/>
              <w:rPr>
                <w:rFonts w:cs="Arial"/>
                <w:b/>
                <w:sz w:val="22"/>
              </w:rPr>
            </w:pPr>
          </w:p>
        </w:tc>
        <w:tc>
          <w:tcPr>
            <w:tcW w:w="1985" w:type="dxa"/>
            <w:gridSpan w:val="2"/>
            <w:vMerge w:val="restart"/>
            <w:tcBorders>
              <w:top w:val="nil"/>
            </w:tcBorders>
            <w:shd w:val="clear" w:color="auto" w:fill="D9D9D9" w:themeFill="background1" w:themeFillShade="D9"/>
          </w:tcPr>
          <w:p w14:paraId="16DD8319" w14:textId="77777777" w:rsidR="00743805" w:rsidRPr="000030BA" w:rsidRDefault="00BF1841" w:rsidP="005245D1">
            <w:pPr>
              <w:pStyle w:val="Rquotation"/>
              <w:spacing w:before="20" w:after="20"/>
              <w:ind w:left="0"/>
              <w:rPr>
                <w:rFonts w:cs="Arial"/>
                <w:b/>
                <w:sz w:val="22"/>
              </w:rPr>
            </w:pPr>
          </w:p>
          <w:p w14:paraId="4AFB0F07" w14:textId="77777777" w:rsidR="004F57D5" w:rsidRPr="000030BA" w:rsidRDefault="00922BB7" w:rsidP="005245D1">
            <w:pPr>
              <w:pStyle w:val="Rquotation"/>
              <w:spacing w:before="20" w:after="20"/>
              <w:ind w:left="0"/>
              <w:rPr>
                <w:rFonts w:cs="Arial"/>
                <w:b/>
                <w:sz w:val="22"/>
              </w:rPr>
            </w:pPr>
            <w:r w:rsidRPr="000030BA">
              <w:rPr>
                <w:rFonts w:cs="Arial"/>
                <w:b/>
                <w:sz w:val="22"/>
              </w:rPr>
              <w:t>Total</w:t>
            </w:r>
          </w:p>
        </w:tc>
        <w:tc>
          <w:tcPr>
            <w:tcW w:w="1559" w:type="dxa"/>
            <w:gridSpan w:val="2"/>
            <w:vMerge w:val="restart"/>
            <w:tcBorders>
              <w:top w:val="nil"/>
            </w:tcBorders>
            <w:shd w:val="clear" w:color="auto" w:fill="D9D9D9" w:themeFill="background1" w:themeFillShade="D9"/>
          </w:tcPr>
          <w:p w14:paraId="1C7C5B2F" w14:textId="77777777" w:rsidR="00743805" w:rsidRPr="000030BA" w:rsidRDefault="00BF1841" w:rsidP="005245D1">
            <w:pPr>
              <w:pStyle w:val="Rquotation"/>
              <w:spacing w:before="20" w:after="20"/>
              <w:ind w:left="0"/>
              <w:rPr>
                <w:rFonts w:cs="Arial"/>
                <w:b/>
                <w:sz w:val="22"/>
              </w:rPr>
            </w:pPr>
          </w:p>
          <w:p w14:paraId="69C2D32B" w14:textId="77777777" w:rsidR="004F57D5" w:rsidRPr="000030BA" w:rsidRDefault="00922BB7" w:rsidP="005245D1">
            <w:pPr>
              <w:pStyle w:val="Rquotation"/>
              <w:spacing w:before="20" w:after="20"/>
              <w:ind w:left="0"/>
              <w:rPr>
                <w:rFonts w:cs="Arial"/>
                <w:b/>
                <w:sz w:val="22"/>
              </w:rPr>
            </w:pPr>
            <w:r w:rsidRPr="000030BA">
              <w:rPr>
                <w:rFonts w:cs="Arial"/>
                <w:b/>
                <w:sz w:val="22"/>
              </w:rPr>
              <w:t>Total</w:t>
            </w:r>
          </w:p>
        </w:tc>
        <w:tc>
          <w:tcPr>
            <w:tcW w:w="2693" w:type="dxa"/>
            <w:gridSpan w:val="3"/>
          </w:tcPr>
          <w:p w14:paraId="722C0231" w14:textId="77777777" w:rsidR="004F57D5" w:rsidRPr="000030BA" w:rsidRDefault="00922BB7" w:rsidP="005245D1">
            <w:pPr>
              <w:pStyle w:val="Rquotation"/>
              <w:spacing w:before="20" w:after="20"/>
              <w:ind w:left="0"/>
              <w:rPr>
                <w:rFonts w:cs="Arial"/>
                <w:b/>
                <w:sz w:val="22"/>
              </w:rPr>
            </w:pPr>
            <w:r w:rsidRPr="000030BA">
              <w:rPr>
                <w:rFonts w:cs="Arial"/>
                <w:b/>
                <w:sz w:val="22"/>
              </w:rPr>
              <w:t>Risk rating</w:t>
            </w:r>
          </w:p>
        </w:tc>
      </w:tr>
      <w:tr w:rsidR="0024235B" w14:paraId="64C8A274" w14:textId="77777777" w:rsidTr="005245D1">
        <w:trPr>
          <w:trHeight w:val="48"/>
        </w:trPr>
        <w:tc>
          <w:tcPr>
            <w:tcW w:w="2263" w:type="dxa"/>
            <w:gridSpan w:val="2"/>
            <w:vMerge/>
            <w:tcBorders>
              <w:right w:val="single" w:sz="4" w:space="0" w:color="auto"/>
            </w:tcBorders>
          </w:tcPr>
          <w:p w14:paraId="1623E690" w14:textId="77777777" w:rsidR="004F57D5" w:rsidRPr="000030BA" w:rsidRDefault="00BF1841" w:rsidP="005245D1">
            <w:pPr>
              <w:pStyle w:val="Rquotation"/>
              <w:spacing w:before="20" w:after="20"/>
              <w:ind w:left="0"/>
              <w:rPr>
                <w:rFonts w:cs="Arial"/>
                <w:sz w:val="22"/>
              </w:rPr>
            </w:pPr>
          </w:p>
        </w:tc>
        <w:tc>
          <w:tcPr>
            <w:tcW w:w="1985" w:type="dxa"/>
            <w:gridSpan w:val="2"/>
            <w:vMerge/>
            <w:tcBorders>
              <w:top w:val="nil"/>
            </w:tcBorders>
            <w:shd w:val="clear" w:color="auto" w:fill="D9D9D9" w:themeFill="background1" w:themeFillShade="D9"/>
          </w:tcPr>
          <w:p w14:paraId="7A50F27C" w14:textId="77777777" w:rsidR="004F57D5" w:rsidRPr="000030BA" w:rsidRDefault="00BF1841" w:rsidP="005245D1">
            <w:pPr>
              <w:pStyle w:val="Rquotation"/>
              <w:spacing w:before="20" w:after="20"/>
              <w:ind w:left="0"/>
              <w:rPr>
                <w:rFonts w:cs="Arial"/>
                <w:sz w:val="22"/>
              </w:rPr>
            </w:pPr>
          </w:p>
        </w:tc>
        <w:tc>
          <w:tcPr>
            <w:tcW w:w="1559" w:type="dxa"/>
            <w:gridSpan w:val="2"/>
            <w:vMerge/>
            <w:tcBorders>
              <w:top w:val="nil"/>
            </w:tcBorders>
            <w:shd w:val="clear" w:color="auto" w:fill="D9D9D9" w:themeFill="background1" w:themeFillShade="D9"/>
          </w:tcPr>
          <w:p w14:paraId="0E736687" w14:textId="77777777" w:rsidR="004F57D5" w:rsidRPr="000030BA" w:rsidRDefault="00BF1841" w:rsidP="005245D1">
            <w:pPr>
              <w:pStyle w:val="Rquotation"/>
              <w:spacing w:before="20" w:after="20"/>
              <w:ind w:left="0"/>
              <w:rPr>
                <w:rFonts w:cs="Arial"/>
                <w:sz w:val="22"/>
              </w:rPr>
            </w:pPr>
          </w:p>
        </w:tc>
        <w:tc>
          <w:tcPr>
            <w:tcW w:w="851" w:type="dxa"/>
          </w:tcPr>
          <w:p w14:paraId="7C30F6AC" w14:textId="77777777" w:rsidR="004F57D5" w:rsidRPr="000030BA" w:rsidRDefault="00922BB7" w:rsidP="005245D1">
            <w:pPr>
              <w:pStyle w:val="Rquotation"/>
              <w:spacing w:before="20" w:after="20"/>
              <w:ind w:left="0"/>
              <w:rPr>
                <w:rFonts w:cs="Arial"/>
                <w:b/>
                <w:sz w:val="22"/>
              </w:rPr>
            </w:pPr>
            <w:r w:rsidRPr="000030BA">
              <w:rPr>
                <w:rFonts w:cs="Arial"/>
                <w:b/>
                <w:sz w:val="22"/>
              </w:rPr>
              <w:t>High</w:t>
            </w:r>
          </w:p>
        </w:tc>
        <w:tc>
          <w:tcPr>
            <w:tcW w:w="1134" w:type="dxa"/>
          </w:tcPr>
          <w:p w14:paraId="7D741612" w14:textId="77777777" w:rsidR="004F57D5" w:rsidRPr="000030BA" w:rsidRDefault="00922BB7" w:rsidP="005245D1">
            <w:pPr>
              <w:pStyle w:val="Rquotation"/>
              <w:spacing w:before="20" w:after="20"/>
              <w:ind w:left="0"/>
              <w:rPr>
                <w:rFonts w:cs="Arial"/>
                <w:b/>
                <w:sz w:val="22"/>
              </w:rPr>
            </w:pPr>
            <w:r w:rsidRPr="000030BA">
              <w:rPr>
                <w:rFonts w:cs="Arial"/>
                <w:b/>
                <w:sz w:val="22"/>
              </w:rPr>
              <w:t>Medium</w:t>
            </w:r>
          </w:p>
        </w:tc>
        <w:tc>
          <w:tcPr>
            <w:tcW w:w="708" w:type="dxa"/>
          </w:tcPr>
          <w:p w14:paraId="697FBED3" w14:textId="77777777" w:rsidR="004F57D5" w:rsidRPr="000030BA" w:rsidRDefault="00922BB7" w:rsidP="005245D1">
            <w:pPr>
              <w:pStyle w:val="Rquotation"/>
              <w:spacing w:before="20" w:after="20"/>
              <w:ind w:left="0"/>
              <w:rPr>
                <w:rFonts w:cs="Arial"/>
                <w:b/>
                <w:sz w:val="22"/>
              </w:rPr>
            </w:pPr>
            <w:r w:rsidRPr="000030BA">
              <w:rPr>
                <w:rFonts w:cs="Arial"/>
                <w:b/>
                <w:sz w:val="22"/>
              </w:rPr>
              <w:t>Low</w:t>
            </w:r>
          </w:p>
        </w:tc>
      </w:tr>
      <w:tr w:rsidR="0024235B" w14:paraId="104D3842" w14:textId="77777777" w:rsidTr="000030BA">
        <w:tc>
          <w:tcPr>
            <w:tcW w:w="2263" w:type="dxa"/>
            <w:gridSpan w:val="2"/>
          </w:tcPr>
          <w:p w14:paraId="000D3B60" w14:textId="77777777" w:rsidR="003A3E48" w:rsidRPr="000030BA" w:rsidRDefault="00922BB7" w:rsidP="005245D1">
            <w:pPr>
              <w:pStyle w:val="Rquotation"/>
              <w:spacing w:before="20" w:after="20"/>
              <w:ind w:left="0"/>
              <w:rPr>
                <w:rFonts w:cs="Arial"/>
                <w:sz w:val="22"/>
              </w:rPr>
            </w:pPr>
            <w:r w:rsidRPr="000030BA">
              <w:rPr>
                <w:rFonts w:cs="Arial"/>
                <w:sz w:val="22"/>
              </w:rPr>
              <w:t>Complete</w:t>
            </w:r>
          </w:p>
        </w:tc>
        <w:tc>
          <w:tcPr>
            <w:tcW w:w="993" w:type="dxa"/>
          </w:tcPr>
          <w:p w14:paraId="16AB6F53" w14:textId="77777777" w:rsidR="003A3E48" w:rsidRPr="000030BA" w:rsidRDefault="00922BB7" w:rsidP="005245D1">
            <w:pPr>
              <w:pStyle w:val="Rquotation"/>
              <w:tabs>
                <w:tab w:val="decimal" w:pos="888"/>
              </w:tabs>
              <w:spacing w:before="20" w:after="20"/>
              <w:ind w:left="0"/>
              <w:rPr>
                <w:rFonts w:cs="Arial"/>
                <w:sz w:val="22"/>
              </w:rPr>
            </w:pPr>
            <w:r>
              <w:rPr>
                <w:rFonts w:cs="Arial"/>
                <w:sz w:val="22"/>
              </w:rPr>
              <w:t>255</w:t>
            </w:r>
          </w:p>
        </w:tc>
        <w:tc>
          <w:tcPr>
            <w:tcW w:w="992" w:type="dxa"/>
          </w:tcPr>
          <w:p w14:paraId="49DA8564" w14:textId="77777777" w:rsidR="003A3E48" w:rsidRPr="000030BA" w:rsidRDefault="00922BB7" w:rsidP="005245D1">
            <w:pPr>
              <w:pStyle w:val="Rquotation"/>
              <w:tabs>
                <w:tab w:val="decimal" w:pos="513"/>
              </w:tabs>
              <w:spacing w:before="20" w:after="20"/>
              <w:ind w:left="0"/>
              <w:rPr>
                <w:rFonts w:cs="Arial"/>
                <w:sz w:val="22"/>
              </w:rPr>
            </w:pPr>
            <w:r w:rsidRPr="000030BA">
              <w:rPr>
                <w:rFonts w:cs="Arial"/>
                <w:sz w:val="22"/>
              </w:rPr>
              <w:t>77%</w:t>
            </w:r>
          </w:p>
        </w:tc>
        <w:tc>
          <w:tcPr>
            <w:tcW w:w="709" w:type="dxa"/>
          </w:tcPr>
          <w:p w14:paraId="5F3C2456" w14:textId="77777777" w:rsidR="003A3E48" w:rsidRPr="000030BA" w:rsidRDefault="00922BB7" w:rsidP="005245D1">
            <w:pPr>
              <w:pStyle w:val="Rquotation"/>
              <w:tabs>
                <w:tab w:val="decimal" w:pos="456"/>
              </w:tabs>
              <w:spacing w:before="20" w:after="20"/>
              <w:ind w:left="0"/>
              <w:rPr>
                <w:rFonts w:cs="Arial"/>
                <w:sz w:val="22"/>
              </w:rPr>
            </w:pPr>
            <w:r w:rsidRPr="000030BA">
              <w:rPr>
                <w:rFonts w:cs="Arial"/>
                <w:sz w:val="22"/>
              </w:rPr>
              <w:t>314</w:t>
            </w:r>
          </w:p>
        </w:tc>
        <w:tc>
          <w:tcPr>
            <w:tcW w:w="850" w:type="dxa"/>
            <w:tcBorders>
              <w:top w:val="single" w:sz="4" w:space="0" w:color="auto"/>
            </w:tcBorders>
          </w:tcPr>
          <w:p w14:paraId="214AEB29" w14:textId="77777777" w:rsidR="003A3E48" w:rsidRPr="000030BA" w:rsidRDefault="00922BB7" w:rsidP="005245D1">
            <w:pPr>
              <w:pStyle w:val="Rquotation"/>
              <w:tabs>
                <w:tab w:val="decimal" w:pos="513"/>
              </w:tabs>
              <w:spacing w:before="20" w:after="20"/>
              <w:ind w:left="0"/>
              <w:rPr>
                <w:rFonts w:cs="Arial"/>
                <w:sz w:val="22"/>
              </w:rPr>
            </w:pPr>
            <w:r>
              <w:rPr>
                <w:rFonts w:cs="Arial"/>
                <w:sz w:val="22"/>
              </w:rPr>
              <w:t>75</w:t>
            </w:r>
            <w:r w:rsidRPr="000030BA">
              <w:rPr>
                <w:rFonts w:cs="Arial"/>
                <w:sz w:val="22"/>
              </w:rPr>
              <w:t>%</w:t>
            </w:r>
          </w:p>
        </w:tc>
        <w:tc>
          <w:tcPr>
            <w:tcW w:w="851" w:type="dxa"/>
          </w:tcPr>
          <w:p w14:paraId="522C374B" w14:textId="77777777" w:rsidR="003A3E48" w:rsidRPr="000030BA" w:rsidRDefault="00922BB7" w:rsidP="005245D1">
            <w:pPr>
              <w:pStyle w:val="Rquotation"/>
              <w:tabs>
                <w:tab w:val="decimal" w:pos="460"/>
              </w:tabs>
              <w:spacing w:before="20" w:after="20"/>
              <w:ind w:left="0"/>
              <w:rPr>
                <w:rFonts w:cs="Arial"/>
                <w:sz w:val="22"/>
              </w:rPr>
            </w:pPr>
            <w:r w:rsidRPr="000030BA">
              <w:rPr>
                <w:rFonts w:cs="Arial"/>
                <w:sz w:val="22"/>
              </w:rPr>
              <w:t>16</w:t>
            </w:r>
          </w:p>
        </w:tc>
        <w:tc>
          <w:tcPr>
            <w:tcW w:w="1134" w:type="dxa"/>
          </w:tcPr>
          <w:p w14:paraId="05522951" w14:textId="77777777" w:rsidR="003A3E48" w:rsidRPr="000030BA" w:rsidRDefault="00922BB7" w:rsidP="005245D1">
            <w:pPr>
              <w:pStyle w:val="Rquotation"/>
              <w:tabs>
                <w:tab w:val="decimal" w:pos="685"/>
              </w:tabs>
              <w:spacing w:before="20" w:after="20"/>
              <w:ind w:left="0"/>
              <w:rPr>
                <w:rFonts w:cs="Arial"/>
                <w:sz w:val="22"/>
              </w:rPr>
            </w:pPr>
            <w:r w:rsidRPr="000030BA">
              <w:rPr>
                <w:rFonts w:cs="Arial"/>
                <w:sz w:val="22"/>
              </w:rPr>
              <w:t>184</w:t>
            </w:r>
          </w:p>
        </w:tc>
        <w:tc>
          <w:tcPr>
            <w:tcW w:w="708" w:type="dxa"/>
          </w:tcPr>
          <w:p w14:paraId="3C07BF93" w14:textId="77777777" w:rsidR="003A3E48" w:rsidRPr="000030BA" w:rsidRDefault="00922BB7" w:rsidP="005245D1">
            <w:pPr>
              <w:pStyle w:val="Rquotation"/>
              <w:tabs>
                <w:tab w:val="decimal" w:pos="420"/>
              </w:tabs>
              <w:spacing w:before="20" w:after="20"/>
              <w:ind w:left="0"/>
              <w:rPr>
                <w:rFonts w:cs="Arial"/>
                <w:sz w:val="22"/>
              </w:rPr>
            </w:pPr>
            <w:r w:rsidRPr="000030BA">
              <w:rPr>
                <w:rFonts w:cs="Arial"/>
                <w:sz w:val="22"/>
              </w:rPr>
              <w:t>114</w:t>
            </w:r>
          </w:p>
        </w:tc>
      </w:tr>
      <w:tr w:rsidR="0024235B" w14:paraId="02F9F6FF" w14:textId="77777777" w:rsidTr="000030BA">
        <w:tc>
          <w:tcPr>
            <w:tcW w:w="2263" w:type="dxa"/>
            <w:gridSpan w:val="2"/>
          </w:tcPr>
          <w:p w14:paraId="7D73E4E2" w14:textId="77777777" w:rsidR="003A3E48" w:rsidRPr="000030BA" w:rsidRDefault="00922BB7" w:rsidP="005245D1">
            <w:pPr>
              <w:pStyle w:val="Rquotation"/>
              <w:spacing w:before="20" w:after="20"/>
              <w:ind w:left="0"/>
              <w:rPr>
                <w:rFonts w:cs="Arial"/>
                <w:sz w:val="22"/>
              </w:rPr>
            </w:pPr>
            <w:r w:rsidRPr="000030BA">
              <w:rPr>
                <w:rFonts w:cs="Arial"/>
                <w:sz w:val="22"/>
              </w:rPr>
              <w:t>Superseded</w:t>
            </w:r>
          </w:p>
        </w:tc>
        <w:tc>
          <w:tcPr>
            <w:tcW w:w="993" w:type="dxa"/>
          </w:tcPr>
          <w:p w14:paraId="6220B90C" w14:textId="77777777" w:rsidR="003A3E48" w:rsidRPr="000030BA" w:rsidRDefault="00922BB7" w:rsidP="005245D1">
            <w:pPr>
              <w:pStyle w:val="Rquotation"/>
              <w:tabs>
                <w:tab w:val="decimal" w:pos="888"/>
              </w:tabs>
              <w:spacing w:before="20" w:after="20"/>
              <w:ind w:left="0"/>
              <w:rPr>
                <w:rFonts w:cs="Arial"/>
                <w:sz w:val="22"/>
              </w:rPr>
            </w:pPr>
            <w:r w:rsidRPr="000030BA">
              <w:rPr>
                <w:rFonts w:cs="Arial"/>
                <w:sz w:val="22"/>
              </w:rPr>
              <w:t>28</w:t>
            </w:r>
          </w:p>
        </w:tc>
        <w:tc>
          <w:tcPr>
            <w:tcW w:w="992" w:type="dxa"/>
          </w:tcPr>
          <w:p w14:paraId="1C67E072" w14:textId="77777777" w:rsidR="003A3E48" w:rsidRPr="000030BA" w:rsidRDefault="00922BB7" w:rsidP="005245D1">
            <w:pPr>
              <w:pStyle w:val="Rquotation"/>
              <w:tabs>
                <w:tab w:val="decimal" w:pos="513"/>
              </w:tabs>
              <w:spacing w:before="20" w:after="20"/>
              <w:ind w:left="0"/>
              <w:rPr>
                <w:rFonts w:cs="Arial"/>
                <w:sz w:val="22"/>
              </w:rPr>
            </w:pPr>
            <w:r w:rsidRPr="000030BA">
              <w:rPr>
                <w:rFonts w:cs="Arial"/>
                <w:sz w:val="22"/>
              </w:rPr>
              <w:t>8%</w:t>
            </w:r>
          </w:p>
        </w:tc>
        <w:tc>
          <w:tcPr>
            <w:tcW w:w="709" w:type="dxa"/>
          </w:tcPr>
          <w:p w14:paraId="581A3C25" w14:textId="77777777" w:rsidR="003A3E48" w:rsidRPr="000030BA" w:rsidRDefault="00922BB7" w:rsidP="005245D1">
            <w:pPr>
              <w:pStyle w:val="Rquotation"/>
              <w:tabs>
                <w:tab w:val="decimal" w:pos="456"/>
              </w:tabs>
              <w:spacing w:before="20" w:after="20"/>
              <w:ind w:left="0"/>
              <w:rPr>
                <w:rFonts w:cs="Arial"/>
                <w:sz w:val="22"/>
              </w:rPr>
            </w:pPr>
            <w:r w:rsidRPr="000030BA">
              <w:rPr>
                <w:rFonts w:cs="Arial"/>
                <w:sz w:val="22"/>
              </w:rPr>
              <w:t>2</w:t>
            </w:r>
            <w:r>
              <w:rPr>
                <w:rFonts w:cs="Arial"/>
                <w:sz w:val="22"/>
              </w:rPr>
              <w:t>9</w:t>
            </w:r>
          </w:p>
        </w:tc>
        <w:tc>
          <w:tcPr>
            <w:tcW w:w="850" w:type="dxa"/>
          </w:tcPr>
          <w:p w14:paraId="01824344" w14:textId="77777777" w:rsidR="003A3E48" w:rsidRPr="000030BA" w:rsidRDefault="00922BB7" w:rsidP="005245D1">
            <w:pPr>
              <w:pStyle w:val="Rquotation"/>
              <w:tabs>
                <w:tab w:val="decimal" w:pos="513"/>
              </w:tabs>
              <w:spacing w:before="20" w:after="20"/>
              <w:ind w:left="0"/>
              <w:rPr>
                <w:rFonts w:cs="Arial"/>
                <w:sz w:val="22"/>
              </w:rPr>
            </w:pPr>
            <w:r>
              <w:rPr>
                <w:rFonts w:cs="Arial"/>
                <w:sz w:val="22"/>
              </w:rPr>
              <w:t>7</w:t>
            </w:r>
            <w:r w:rsidRPr="000030BA">
              <w:rPr>
                <w:rFonts w:cs="Arial"/>
                <w:sz w:val="22"/>
              </w:rPr>
              <w:t>%</w:t>
            </w:r>
          </w:p>
        </w:tc>
        <w:tc>
          <w:tcPr>
            <w:tcW w:w="851" w:type="dxa"/>
          </w:tcPr>
          <w:p w14:paraId="7D5B49C9" w14:textId="77777777" w:rsidR="003A3E48" w:rsidRPr="000030BA" w:rsidRDefault="00922BB7" w:rsidP="005245D1">
            <w:pPr>
              <w:pStyle w:val="Rquotation"/>
              <w:tabs>
                <w:tab w:val="decimal" w:pos="460"/>
              </w:tabs>
              <w:spacing w:before="20" w:after="20"/>
              <w:ind w:left="0"/>
              <w:rPr>
                <w:rFonts w:cs="Arial"/>
                <w:sz w:val="22"/>
              </w:rPr>
            </w:pPr>
            <w:r w:rsidRPr="000030BA">
              <w:rPr>
                <w:rFonts w:cs="Arial"/>
                <w:sz w:val="22"/>
              </w:rPr>
              <w:t>3</w:t>
            </w:r>
          </w:p>
        </w:tc>
        <w:tc>
          <w:tcPr>
            <w:tcW w:w="1134" w:type="dxa"/>
          </w:tcPr>
          <w:p w14:paraId="322AAC2B" w14:textId="77777777" w:rsidR="003A3E48" w:rsidRPr="000030BA" w:rsidRDefault="00922BB7" w:rsidP="005245D1">
            <w:pPr>
              <w:pStyle w:val="Rquotation"/>
              <w:tabs>
                <w:tab w:val="decimal" w:pos="685"/>
              </w:tabs>
              <w:spacing w:before="20" w:after="20"/>
              <w:ind w:left="0"/>
              <w:rPr>
                <w:rFonts w:cs="Arial"/>
                <w:sz w:val="22"/>
              </w:rPr>
            </w:pPr>
            <w:r w:rsidRPr="000030BA">
              <w:rPr>
                <w:rFonts w:cs="Arial"/>
                <w:sz w:val="22"/>
              </w:rPr>
              <w:t>1</w:t>
            </w:r>
            <w:r>
              <w:rPr>
                <w:rFonts w:cs="Arial"/>
                <w:sz w:val="22"/>
              </w:rPr>
              <w:t>8</w:t>
            </w:r>
          </w:p>
        </w:tc>
        <w:tc>
          <w:tcPr>
            <w:tcW w:w="708" w:type="dxa"/>
          </w:tcPr>
          <w:p w14:paraId="2A1BAE49" w14:textId="77777777" w:rsidR="003A3E48" w:rsidRPr="000030BA" w:rsidRDefault="00922BB7" w:rsidP="005245D1">
            <w:pPr>
              <w:pStyle w:val="Rquotation"/>
              <w:tabs>
                <w:tab w:val="decimal" w:pos="420"/>
              </w:tabs>
              <w:spacing w:before="20" w:after="20"/>
              <w:ind w:left="0"/>
              <w:rPr>
                <w:rFonts w:cs="Arial"/>
                <w:sz w:val="22"/>
              </w:rPr>
            </w:pPr>
            <w:r w:rsidRPr="000030BA">
              <w:rPr>
                <w:rFonts w:cs="Arial"/>
                <w:sz w:val="22"/>
              </w:rPr>
              <w:t>8</w:t>
            </w:r>
          </w:p>
        </w:tc>
      </w:tr>
      <w:tr w:rsidR="0024235B" w14:paraId="7FB73F79" w14:textId="77777777" w:rsidTr="000030BA">
        <w:tc>
          <w:tcPr>
            <w:tcW w:w="2263" w:type="dxa"/>
            <w:gridSpan w:val="2"/>
          </w:tcPr>
          <w:p w14:paraId="4A854B42" w14:textId="77777777" w:rsidR="003A3E48" w:rsidRPr="000030BA" w:rsidRDefault="00922BB7" w:rsidP="005245D1">
            <w:pPr>
              <w:pStyle w:val="Rquotation"/>
              <w:spacing w:before="20" w:after="20"/>
              <w:ind w:left="0"/>
              <w:rPr>
                <w:rFonts w:cs="Arial"/>
                <w:sz w:val="22"/>
              </w:rPr>
            </w:pPr>
            <w:r w:rsidRPr="000030BA">
              <w:rPr>
                <w:rFonts w:cs="Arial"/>
                <w:sz w:val="22"/>
              </w:rPr>
              <w:t>Incomplete</w:t>
            </w:r>
          </w:p>
        </w:tc>
        <w:tc>
          <w:tcPr>
            <w:tcW w:w="993" w:type="dxa"/>
          </w:tcPr>
          <w:p w14:paraId="76A50CC6" w14:textId="77777777" w:rsidR="003A3E48" w:rsidRPr="000030BA" w:rsidRDefault="00922BB7" w:rsidP="005245D1">
            <w:pPr>
              <w:pStyle w:val="Rquotation"/>
              <w:tabs>
                <w:tab w:val="decimal" w:pos="888"/>
              </w:tabs>
              <w:spacing w:before="20" w:after="20"/>
              <w:ind w:left="0"/>
              <w:rPr>
                <w:rFonts w:cs="Arial"/>
                <w:sz w:val="22"/>
              </w:rPr>
            </w:pPr>
            <w:r w:rsidRPr="000030BA">
              <w:rPr>
                <w:rFonts w:cs="Arial"/>
                <w:sz w:val="22"/>
              </w:rPr>
              <w:t>18</w:t>
            </w:r>
          </w:p>
        </w:tc>
        <w:tc>
          <w:tcPr>
            <w:tcW w:w="992" w:type="dxa"/>
          </w:tcPr>
          <w:p w14:paraId="34E80B0E" w14:textId="77777777" w:rsidR="003A3E48" w:rsidRPr="000030BA" w:rsidRDefault="00922BB7" w:rsidP="005245D1">
            <w:pPr>
              <w:pStyle w:val="Rquotation"/>
              <w:tabs>
                <w:tab w:val="decimal" w:pos="513"/>
              </w:tabs>
              <w:spacing w:before="20" w:after="20"/>
              <w:ind w:left="0"/>
              <w:rPr>
                <w:rFonts w:cs="Arial"/>
                <w:sz w:val="22"/>
              </w:rPr>
            </w:pPr>
            <w:r w:rsidRPr="000030BA">
              <w:rPr>
                <w:rFonts w:cs="Arial"/>
                <w:sz w:val="22"/>
              </w:rPr>
              <w:t>6%</w:t>
            </w:r>
          </w:p>
        </w:tc>
        <w:tc>
          <w:tcPr>
            <w:tcW w:w="709" w:type="dxa"/>
          </w:tcPr>
          <w:p w14:paraId="44FCED21" w14:textId="77777777" w:rsidR="003A3E48" w:rsidRPr="000030BA" w:rsidRDefault="00922BB7" w:rsidP="005245D1">
            <w:pPr>
              <w:pStyle w:val="Rquotation"/>
              <w:tabs>
                <w:tab w:val="decimal" w:pos="456"/>
              </w:tabs>
              <w:spacing w:before="20" w:after="20"/>
              <w:ind w:left="0"/>
              <w:rPr>
                <w:rFonts w:cs="Arial"/>
                <w:sz w:val="22"/>
              </w:rPr>
            </w:pPr>
            <w:r w:rsidRPr="000030BA">
              <w:rPr>
                <w:rFonts w:cs="Arial"/>
                <w:sz w:val="22"/>
              </w:rPr>
              <w:t>2</w:t>
            </w:r>
            <w:r>
              <w:rPr>
                <w:rFonts w:cs="Arial"/>
                <w:sz w:val="22"/>
              </w:rPr>
              <w:t>4</w:t>
            </w:r>
          </w:p>
        </w:tc>
        <w:tc>
          <w:tcPr>
            <w:tcW w:w="850" w:type="dxa"/>
          </w:tcPr>
          <w:p w14:paraId="3621EB0C" w14:textId="77777777" w:rsidR="003A3E48" w:rsidRPr="000030BA" w:rsidRDefault="00922BB7" w:rsidP="005245D1">
            <w:pPr>
              <w:pStyle w:val="Rquotation"/>
              <w:tabs>
                <w:tab w:val="decimal" w:pos="513"/>
              </w:tabs>
              <w:spacing w:before="20" w:after="20"/>
              <w:ind w:left="0"/>
              <w:rPr>
                <w:rFonts w:cs="Arial"/>
                <w:sz w:val="22"/>
              </w:rPr>
            </w:pPr>
            <w:r w:rsidRPr="000030BA">
              <w:rPr>
                <w:rFonts w:cs="Arial"/>
                <w:sz w:val="22"/>
              </w:rPr>
              <w:t>6%</w:t>
            </w:r>
          </w:p>
        </w:tc>
        <w:tc>
          <w:tcPr>
            <w:tcW w:w="851" w:type="dxa"/>
          </w:tcPr>
          <w:p w14:paraId="4E42FFF4" w14:textId="77777777" w:rsidR="003A3E48" w:rsidRPr="000030BA" w:rsidRDefault="00922BB7" w:rsidP="005245D1">
            <w:pPr>
              <w:pStyle w:val="Rquotation"/>
              <w:tabs>
                <w:tab w:val="decimal" w:pos="460"/>
              </w:tabs>
              <w:spacing w:before="20" w:after="20"/>
              <w:ind w:left="0"/>
              <w:rPr>
                <w:rFonts w:cs="Arial"/>
                <w:sz w:val="22"/>
              </w:rPr>
            </w:pPr>
            <w:r w:rsidRPr="000030BA">
              <w:rPr>
                <w:rFonts w:cs="Arial"/>
                <w:sz w:val="22"/>
              </w:rPr>
              <w:t>4</w:t>
            </w:r>
          </w:p>
        </w:tc>
        <w:tc>
          <w:tcPr>
            <w:tcW w:w="1134" w:type="dxa"/>
          </w:tcPr>
          <w:p w14:paraId="7B621040" w14:textId="77777777" w:rsidR="003A3E48" w:rsidRPr="000030BA" w:rsidRDefault="00922BB7" w:rsidP="005245D1">
            <w:pPr>
              <w:pStyle w:val="Rquotation"/>
              <w:tabs>
                <w:tab w:val="decimal" w:pos="685"/>
              </w:tabs>
              <w:spacing w:before="20" w:after="20"/>
              <w:ind w:left="0"/>
              <w:rPr>
                <w:rFonts w:cs="Arial"/>
                <w:sz w:val="22"/>
              </w:rPr>
            </w:pPr>
            <w:r w:rsidRPr="000030BA">
              <w:rPr>
                <w:rFonts w:cs="Arial"/>
                <w:sz w:val="22"/>
              </w:rPr>
              <w:t>1</w:t>
            </w:r>
            <w:r>
              <w:rPr>
                <w:rFonts w:cs="Arial"/>
                <w:sz w:val="22"/>
              </w:rPr>
              <w:t>4</w:t>
            </w:r>
          </w:p>
        </w:tc>
        <w:tc>
          <w:tcPr>
            <w:tcW w:w="708" w:type="dxa"/>
          </w:tcPr>
          <w:p w14:paraId="7C165491" w14:textId="77777777" w:rsidR="003A3E48" w:rsidRPr="000030BA" w:rsidRDefault="00922BB7" w:rsidP="005245D1">
            <w:pPr>
              <w:pStyle w:val="Rquotation"/>
              <w:tabs>
                <w:tab w:val="decimal" w:pos="420"/>
              </w:tabs>
              <w:spacing w:before="20" w:after="20"/>
              <w:ind w:left="0"/>
              <w:rPr>
                <w:rFonts w:cs="Arial"/>
                <w:sz w:val="22"/>
              </w:rPr>
            </w:pPr>
            <w:r w:rsidRPr="000030BA">
              <w:rPr>
                <w:rFonts w:cs="Arial"/>
                <w:sz w:val="22"/>
              </w:rPr>
              <w:t>6</w:t>
            </w:r>
          </w:p>
        </w:tc>
      </w:tr>
      <w:tr w:rsidR="0024235B" w14:paraId="4FA39723" w14:textId="77777777" w:rsidTr="000030BA">
        <w:tc>
          <w:tcPr>
            <w:tcW w:w="2263" w:type="dxa"/>
            <w:gridSpan w:val="2"/>
          </w:tcPr>
          <w:p w14:paraId="340B0E74" w14:textId="77777777" w:rsidR="003A3E48" w:rsidRPr="000030BA" w:rsidRDefault="00922BB7" w:rsidP="005245D1">
            <w:pPr>
              <w:pStyle w:val="Rquotation"/>
              <w:spacing w:before="20" w:after="20"/>
              <w:ind w:left="0"/>
              <w:rPr>
                <w:rFonts w:cs="Arial"/>
                <w:sz w:val="22"/>
              </w:rPr>
            </w:pPr>
            <w:r w:rsidRPr="000030BA">
              <w:rPr>
                <w:rFonts w:cs="Arial"/>
                <w:sz w:val="22"/>
              </w:rPr>
              <w:t>Awaiting responses</w:t>
            </w:r>
          </w:p>
        </w:tc>
        <w:tc>
          <w:tcPr>
            <w:tcW w:w="993" w:type="dxa"/>
          </w:tcPr>
          <w:p w14:paraId="2736379B" w14:textId="77777777" w:rsidR="003A3E48" w:rsidRPr="000030BA" w:rsidRDefault="00922BB7" w:rsidP="005245D1">
            <w:pPr>
              <w:pStyle w:val="Rquotation"/>
              <w:tabs>
                <w:tab w:val="decimal" w:pos="888"/>
              </w:tabs>
              <w:spacing w:before="20" w:after="20"/>
              <w:ind w:left="0"/>
              <w:rPr>
                <w:rFonts w:cs="Arial"/>
                <w:sz w:val="22"/>
              </w:rPr>
            </w:pPr>
            <w:r w:rsidRPr="000030BA">
              <w:rPr>
                <w:rFonts w:cs="Arial"/>
                <w:sz w:val="22"/>
              </w:rPr>
              <w:t>31</w:t>
            </w:r>
          </w:p>
        </w:tc>
        <w:tc>
          <w:tcPr>
            <w:tcW w:w="992" w:type="dxa"/>
          </w:tcPr>
          <w:p w14:paraId="66000960" w14:textId="77777777" w:rsidR="003A3E48" w:rsidRPr="000030BA" w:rsidRDefault="00922BB7" w:rsidP="005245D1">
            <w:pPr>
              <w:pStyle w:val="Rquotation"/>
              <w:tabs>
                <w:tab w:val="decimal" w:pos="513"/>
              </w:tabs>
              <w:spacing w:before="20" w:after="20"/>
              <w:ind w:left="0"/>
              <w:rPr>
                <w:rFonts w:cs="Arial"/>
                <w:sz w:val="22"/>
              </w:rPr>
            </w:pPr>
            <w:r w:rsidRPr="000030BA">
              <w:rPr>
                <w:rFonts w:cs="Arial"/>
                <w:sz w:val="22"/>
              </w:rPr>
              <w:t>9%</w:t>
            </w:r>
          </w:p>
        </w:tc>
        <w:tc>
          <w:tcPr>
            <w:tcW w:w="709" w:type="dxa"/>
          </w:tcPr>
          <w:p w14:paraId="2A74A070" w14:textId="77777777" w:rsidR="003A3E48" w:rsidRPr="000030BA" w:rsidRDefault="00922BB7" w:rsidP="005245D1">
            <w:pPr>
              <w:pStyle w:val="Rquotation"/>
              <w:tabs>
                <w:tab w:val="decimal" w:pos="456"/>
              </w:tabs>
              <w:spacing w:before="20" w:after="20"/>
              <w:ind w:left="0"/>
              <w:rPr>
                <w:rFonts w:cs="Arial"/>
                <w:sz w:val="22"/>
              </w:rPr>
            </w:pPr>
            <w:r>
              <w:rPr>
                <w:rFonts w:cs="Arial"/>
                <w:sz w:val="22"/>
              </w:rPr>
              <w:t>50</w:t>
            </w:r>
          </w:p>
        </w:tc>
        <w:tc>
          <w:tcPr>
            <w:tcW w:w="850" w:type="dxa"/>
          </w:tcPr>
          <w:p w14:paraId="573BA621" w14:textId="77777777" w:rsidR="003A3E48" w:rsidRPr="000030BA" w:rsidRDefault="00922BB7" w:rsidP="005245D1">
            <w:pPr>
              <w:pStyle w:val="Rquotation"/>
              <w:tabs>
                <w:tab w:val="decimal" w:pos="513"/>
              </w:tabs>
              <w:spacing w:before="20" w:after="20"/>
              <w:ind w:left="0"/>
              <w:rPr>
                <w:rFonts w:cs="Arial"/>
                <w:sz w:val="22"/>
              </w:rPr>
            </w:pPr>
            <w:r>
              <w:rPr>
                <w:rFonts w:cs="Arial"/>
                <w:sz w:val="22"/>
              </w:rPr>
              <w:t>12</w:t>
            </w:r>
            <w:r w:rsidRPr="000030BA">
              <w:rPr>
                <w:rFonts w:cs="Arial"/>
                <w:sz w:val="22"/>
              </w:rPr>
              <w:t>%</w:t>
            </w:r>
          </w:p>
        </w:tc>
        <w:tc>
          <w:tcPr>
            <w:tcW w:w="851" w:type="dxa"/>
          </w:tcPr>
          <w:p w14:paraId="266117BB" w14:textId="77777777" w:rsidR="003A3E48" w:rsidRPr="000030BA" w:rsidRDefault="00922BB7" w:rsidP="005245D1">
            <w:pPr>
              <w:pStyle w:val="Rquotation"/>
              <w:tabs>
                <w:tab w:val="decimal" w:pos="460"/>
              </w:tabs>
              <w:spacing w:before="20" w:after="20"/>
              <w:ind w:left="0"/>
              <w:rPr>
                <w:rFonts w:cs="Arial"/>
                <w:sz w:val="22"/>
              </w:rPr>
            </w:pPr>
            <w:r>
              <w:rPr>
                <w:rFonts w:cs="Arial"/>
                <w:sz w:val="22"/>
              </w:rPr>
              <w:t>7</w:t>
            </w:r>
          </w:p>
        </w:tc>
        <w:tc>
          <w:tcPr>
            <w:tcW w:w="1134" w:type="dxa"/>
          </w:tcPr>
          <w:p w14:paraId="75D82F4E" w14:textId="77777777" w:rsidR="003A3E48" w:rsidRPr="000030BA" w:rsidRDefault="00922BB7" w:rsidP="005245D1">
            <w:pPr>
              <w:pStyle w:val="Rquotation"/>
              <w:tabs>
                <w:tab w:val="decimal" w:pos="685"/>
              </w:tabs>
              <w:spacing w:before="20" w:after="20"/>
              <w:ind w:left="0"/>
              <w:rPr>
                <w:rFonts w:cs="Arial"/>
                <w:sz w:val="22"/>
              </w:rPr>
            </w:pPr>
            <w:r>
              <w:rPr>
                <w:rFonts w:cs="Arial"/>
                <w:sz w:val="22"/>
              </w:rPr>
              <w:t>30</w:t>
            </w:r>
          </w:p>
        </w:tc>
        <w:tc>
          <w:tcPr>
            <w:tcW w:w="708" w:type="dxa"/>
          </w:tcPr>
          <w:p w14:paraId="019BC364" w14:textId="77777777" w:rsidR="003A3E48" w:rsidRPr="000030BA" w:rsidRDefault="00922BB7" w:rsidP="005245D1">
            <w:pPr>
              <w:pStyle w:val="Rquotation"/>
              <w:tabs>
                <w:tab w:val="decimal" w:pos="420"/>
              </w:tabs>
              <w:spacing w:before="20" w:after="20"/>
              <w:ind w:left="0"/>
              <w:rPr>
                <w:rFonts w:cs="Arial"/>
                <w:sz w:val="22"/>
              </w:rPr>
            </w:pPr>
            <w:r>
              <w:rPr>
                <w:rFonts w:cs="Arial"/>
                <w:sz w:val="22"/>
              </w:rPr>
              <w:t>13</w:t>
            </w:r>
          </w:p>
        </w:tc>
      </w:tr>
      <w:tr w:rsidR="0024235B" w14:paraId="51E5F049" w14:textId="77777777" w:rsidTr="000030BA">
        <w:tc>
          <w:tcPr>
            <w:tcW w:w="2263" w:type="dxa"/>
            <w:gridSpan w:val="2"/>
            <w:tcBorders>
              <w:bottom w:val="single" w:sz="4" w:space="0" w:color="auto"/>
            </w:tcBorders>
            <w:shd w:val="clear" w:color="auto" w:fill="D9D9D9" w:themeFill="background1" w:themeFillShade="D9"/>
          </w:tcPr>
          <w:p w14:paraId="51EA0251" w14:textId="77777777" w:rsidR="003A3E48" w:rsidRPr="000030BA" w:rsidRDefault="00922BB7" w:rsidP="005245D1">
            <w:pPr>
              <w:pStyle w:val="Rquotation"/>
              <w:spacing w:before="20" w:after="20"/>
              <w:ind w:left="0"/>
              <w:rPr>
                <w:rFonts w:cs="Arial"/>
                <w:b/>
                <w:sz w:val="22"/>
              </w:rPr>
            </w:pPr>
            <w:r w:rsidRPr="000030BA">
              <w:rPr>
                <w:rFonts w:cs="Arial"/>
                <w:b/>
                <w:sz w:val="22"/>
              </w:rPr>
              <w:t>Total</w:t>
            </w:r>
          </w:p>
        </w:tc>
        <w:tc>
          <w:tcPr>
            <w:tcW w:w="993" w:type="dxa"/>
            <w:tcBorders>
              <w:bottom w:val="single" w:sz="4" w:space="0" w:color="auto"/>
            </w:tcBorders>
            <w:shd w:val="clear" w:color="auto" w:fill="D9D9D9" w:themeFill="background1" w:themeFillShade="D9"/>
          </w:tcPr>
          <w:p w14:paraId="1967B23F" w14:textId="77777777" w:rsidR="003A3E48" w:rsidRPr="000030BA" w:rsidRDefault="00922BB7" w:rsidP="005245D1">
            <w:pPr>
              <w:pStyle w:val="Rquotation"/>
              <w:tabs>
                <w:tab w:val="decimal" w:pos="888"/>
              </w:tabs>
              <w:spacing w:before="20" w:after="20"/>
              <w:ind w:left="0"/>
              <w:rPr>
                <w:rFonts w:cs="Arial"/>
                <w:b/>
                <w:sz w:val="22"/>
              </w:rPr>
            </w:pPr>
            <w:r>
              <w:rPr>
                <w:rFonts w:cs="Arial"/>
                <w:b/>
                <w:sz w:val="22"/>
              </w:rPr>
              <w:t>332</w:t>
            </w:r>
          </w:p>
        </w:tc>
        <w:tc>
          <w:tcPr>
            <w:tcW w:w="992" w:type="dxa"/>
            <w:tcBorders>
              <w:bottom w:val="single" w:sz="4" w:space="0" w:color="auto"/>
            </w:tcBorders>
            <w:shd w:val="clear" w:color="auto" w:fill="D9D9D9" w:themeFill="background1" w:themeFillShade="D9"/>
          </w:tcPr>
          <w:p w14:paraId="3A2DE60A" w14:textId="77777777" w:rsidR="003A3E48" w:rsidRPr="000030BA" w:rsidRDefault="00922BB7" w:rsidP="005245D1">
            <w:pPr>
              <w:pStyle w:val="Rquotation"/>
              <w:tabs>
                <w:tab w:val="decimal" w:pos="513"/>
              </w:tabs>
              <w:spacing w:before="20" w:after="20"/>
              <w:ind w:left="0"/>
              <w:rPr>
                <w:rFonts w:cs="Arial"/>
                <w:b/>
                <w:sz w:val="22"/>
              </w:rPr>
            </w:pPr>
            <w:r w:rsidRPr="000030BA">
              <w:rPr>
                <w:rFonts w:cs="Arial"/>
                <w:b/>
                <w:sz w:val="22"/>
              </w:rPr>
              <w:t>100%</w:t>
            </w:r>
          </w:p>
        </w:tc>
        <w:tc>
          <w:tcPr>
            <w:tcW w:w="709" w:type="dxa"/>
            <w:shd w:val="clear" w:color="auto" w:fill="D9D9D9" w:themeFill="background1" w:themeFillShade="D9"/>
          </w:tcPr>
          <w:p w14:paraId="0DDEEE98" w14:textId="77777777" w:rsidR="003A3E48" w:rsidRPr="000030BA" w:rsidRDefault="00922BB7" w:rsidP="005245D1">
            <w:pPr>
              <w:pStyle w:val="Rquotation"/>
              <w:tabs>
                <w:tab w:val="decimal" w:pos="456"/>
              </w:tabs>
              <w:spacing w:before="20" w:after="20"/>
              <w:ind w:left="0"/>
              <w:rPr>
                <w:rFonts w:cs="Arial"/>
                <w:b/>
                <w:sz w:val="22"/>
              </w:rPr>
            </w:pPr>
            <w:r>
              <w:rPr>
                <w:rFonts w:cs="Arial"/>
                <w:b/>
                <w:sz w:val="22"/>
              </w:rPr>
              <w:t>417</w:t>
            </w:r>
          </w:p>
        </w:tc>
        <w:tc>
          <w:tcPr>
            <w:tcW w:w="850" w:type="dxa"/>
            <w:shd w:val="clear" w:color="auto" w:fill="D9D9D9" w:themeFill="background1" w:themeFillShade="D9"/>
          </w:tcPr>
          <w:p w14:paraId="3C73F258" w14:textId="77777777" w:rsidR="003A3E48" w:rsidRPr="000030BA" w:rsidRDefault="00922BB7" w:rsidP="005245D1">
            <w:pPr>
              <w:pStyle w:val="Rquotation"/>
              <w:tabs>
                <w:tab w:val="decimal" w:pos="513"/>
              </w:tabs>
              <w:spacing w:before="20" w:after="20"/>
              <w:ind w:left="0"/>
              <w:rPr>
                <w:rFonts w:cs="Arial"/>
                <w:b/>
                <w:sz w:val="22"/>
              </w:rPr>
            </w:pPr>
            <w:r w:rsidRPr="000030BA">
              <w:rPr>
                <w:rFonts w:cs="Arial"/>
                <w:b/>
                <w:sz w:val="22"/>
              </w:rPr>
              <w:t>100%</w:t>
            </w:r>
          </w:p>
        </w:tc>
        <w:tc>
          <w:tcPr>
            <w:tcW w:w="851" w:type="dxa"/>
            <w:shd w:val="clear" w:color="auto" w:fill="D9D9D9" w:themeFill="background1" w:themeFillShade="D9"/>
          </w:tcPr>
          <w:p w14:paraId="4724EB7E" w14:textId="77777777" w:rsidR="003A3E48" w:rsidRPr="000030BA" w:rsidRDefault="00922BB7" w:rsidP="005245D1">
            <w:pPr>
              <w:pStyle w:val="Rquotation"/>
              <w:tabs>
                <w:tab w:val="decimal" w:pos="460"/>
              </w:tabs>
              <w:spacing w:before="20" w:after="20"/>
              <w:ind w:left="0"/>
              <w:rPr>
                <w:rFonts w:cs="Arial"/>
                <w:b/>
                <w:sz w:val="22"/>
              </w:rPr>
            </w:pPr>
            <w:r>
              <w:rPr>
                <w:rFonts w:cs="Arial"/>
                <w:b/>
                <w:sz w:val="22"/>
              </w:rPr>
              <w:t>30</w:t>
            </w:r>
          </w:p>
        </w:tc>
        <w:tc>
          <w:tcPr>
            <w:tcW w:w="1134" w:type="dxa"/>
            <w:shd w:val="clear" w:color="auto" w:fill="D9D9D9" w:themeFill="background1" w:themeFillShade="D9"/>
          </w:tcPr>
          <w:p w14:paraId="6E6B0C39" w14:textId="77777777" w:rsidR="003A3E48" w:rsidRPr="000030BA" w:rsidRDefault="00922BB7" w:rsidP="005245D1">
            <w:pPr>
              <w:pStyle w:val="Rquotation"/>
              <w:tabs>
                <w:tab w:val="decimal" w:pos="685"/>
              </w:tabs>
              <w:spacing w:before="20" w:after="20"/>
              <w:ind w:left="0"/>
              <w:rPr>
                <w:rFonts w:cs="Arial"/>
                <w:b/>
                <w:sz w:val="22"/>
              </w:rPr>
            </w:pPr>
            <w:r>
              <w:rPr>
                <w:rFonts w:cs="Arial"/>
                <w:b/>
                <w:sz w:val="22"/>
              </w:rPr>
              <w:t>246</w:t>
            </w:r>
          </w:p>
        </w:tc>
        <w:tc>
          <w:tcPr>
            <w:tcW w:w="708" w:type="dxa"/>
            <w:shd w:val="clear" w:color="auto" w:fill="D9D9D9" w:themeFill="background1" w:themeFillShade="D9"/>
          </w:tcPr>
          <w:p w14:paraId="1BC0E38A" w14:textId="77777777" w:rsidR="003A3E48" w:rsidRPr="000030BA" w:rsidRDefault="00922BB7" w:rsidP="005245D1">
            <w:pPr>
              <w:pStyle w:val="Rquotation"/>
              <w:tabs>
                <w:tab w:val="decimal" w:pos="420"/>
              </w:tabs>
              <w:spacing w:before="20" w:after="20"/>
              <w:ind w:left="0"/>
              <w:rPr>
                <w:rFonts w:cs="Arial"/>
                <w:b/>
                <w:sz w:val="22"/>
              </w:rPr>
            </w:pPr>
            <w:r>
              <w:rPr>
                <w:rFonts w:cs="Arial"/>
                <w:b/>
                <w:sz w:val="22"/>
              </w:rPr>
              <w:t>141</w:t>
            </w:r>
          </w:p>
        </w:tc>
      </w:tr>
      <w:tr w:rsidR="0024235B" w14:paraId="6BA9898D" w14:textId="77777777" w:rsidTr="005245D1">
        <w:tc>
          <w:tcPr>
            <w:tcW w:w="1271" w:type="dxa"/>
            <w:tcBorders>
              <w:right w:val="nil"/>
            </w:tcBorders>
          </w:tcPr>
          <w:p w14:paraId="7D400179" w14:textId="77777777" w:rsidR="005245D1" w:rsidRPr="000030BA" w:rsidRDefault="00922BB7" w:rsidP="005245D1">
            <w:pPr>
              <w:pStyle w:val="Rquotation"/>
              <w:spacing w:before="20" w:after="20"/>
              <w:ind w:left="0"/>
              <w:rPr>
                <w:rFonts w:cs="Arial"/>
                <w:b/>
                <w:sz w:val="22"/>
              </w:rPr>
            </w:pPr>
            <w:r w:rsidRPr="000030BA">
              <w:rPr>
                <w:rFonts w:cs="Arial"/>
                <w:sz w:val="22"/>
              </w:rPr>
              <w:t>Arising in:</w:t>
            </w:r>
          </w:p>
        </w:tc>
        <w:tc>
          <w:tcPr>
            <w:tcW w:w="2977" w:type="dxa"/>
            <w:gridSpan w:val="3"/>
            <w:tcBorders>
              <w:left w:val="nil"/>
            </w:tcBorders>
          </w:tcPr>
          <w:p w14:paraId="1B8580CF" w14:textId="77777777" w:rsidR="005245D1" w:rsidRPr="000030BA" w:rsidRDefault="00922BB7" w:rsidP="005245D1">
            <w:pPr>
              <w:pStyle w:val="Rquotation"/>
              <w:spacing w:before="20" w:after="20"/>
              <w:ind w:left="0"/>
              <w:rPr>
                <w:rFonts w:cs="Arial"/>
                <w:b/>
                <w:sz w:val="22"/>
              </w:rPr>
            </w:pPr>
            <w:r w:rsidRPr="000030BA">
              <w:rPr>
                <w:rFonts w:cs="Arial"/>
                <w:b/>
                <w:sz w:val="22"/>
              </w:rPr>
              <w:t>2017/18</w:t>
            </w:r>
          </w:p>
        </w:tc>
        <w:tc>
          <w:tcPr>
            <w:tcW w:w="709" w:type="dxa"/>
          </w:tcPr>
          <w:p w14:paraId="6BAB56CB" w14:textId="77777777" w:rsidR="005245D1" w:rsidRPr="000030BA" w:rsidRDefault="00922BB7" w:rsidP="005245D1">
            <w:pPr>
              <w:pStyle w:val="Rquotation"/>
              <w:tabs>
                <w:tab w:val="decimal" w:pos="456"/>
              </w:tabs>
              <w:spacing w:before="20" w:after="20"/>
              <w:ind w:left="0"/>
              <w:rPr>
                <w:rFonts w:cs="Arial"/>
                <w:b/>
                <w:sz w:val="22"/>
              </w:rPr>
            </w:pPr>
            <w:r w:rsidRPr="000030BA">
              <w:rPr>
                <w:rFonts w:cs="Arial"/>
                <w:b/>
                <w:sz w:val="22"/>
              </w:rPr>
              <w:t>195</w:t>
            </w:r>
          </w:p>
        </w:tc>
        <w:tc>
          <w:tcPr>
            <w:tcW w:w="850" w:type="dxa"/>
          </w:tcPr>
          <w:p w14:paraId="272DA288" w14:textId="77777777" w:rsidR="005245D1" w:rsidRPr="000030BA" w:rsidRDefault="00922BB7" w:rsidP="005245D1">
            <w:pPr>
              <w:pStyle w:val="Rquotation"/>
              <w:tabs>
                <w:tab w:val="decimal" w:pos="513"/>
              </w:tabs>
              <w:spacing w:before="20" w:after="20"/>
              <w:ind w:left="0"/>
              <w:rPr>
                <w:rFonts w:cs="Arial"/>
                <w:sz w:val="22"/>
              </w:rPr>
            </w:pPr>
            <w:r w:rsidRPr="000030BA">
              <w:rPr>
                <w:rFonts w:cs="Arial"/>
                <w:sz w:val="22"/>
              </w:rPr>
              <w:t>4</w:t>
            </w:r>
            <w:r>
              <w:rPr>
                <w:rFonts w:cs="Arial"/>
                <w:sz w:val="22"/>
              </w:rPr>
              <w:t>7</w:t>
            </w:r>
            <w:r w:rsidRPr="000030BA">
              <w:rPr>
                <w:rFonts w:cs="Arial"/>
                <w:sz w:val="22"/>
              </w:rPr>
              <w:t>%</w:t>
            </w:r>
          </w:p>
        </w:tc>
        <w:tc>
          <w:tcPr>
            <w:tcW w:w="851" w:type="dxa"/>
          </w:tcPr>
          <w:p w14:paraId="1CC10DC1" w14:textId="77777777" w:rsidR="005245D1" w:rsidRPr="000030BA" w:rsidRDefault="00922BB7" w:rsidP="005245D1">
            <w:pPr>
              <w:pStyle w:val="Rquotation"/>
              <w:tabs>
                <w:tab w:val="decimal" w:pos="460"/>
              </w:tabs>
              <w:spacing w:before="20" w:after="20"/>
              <w:ind w:left="0"/>
              <w:rPr>
                <w:rFonts w:cs="Arial"/>
                <w:sz w:val="22"/>
              </w:rPr>
            </w:pPr>
            <w:r w:rsidRPr="000030BA">
              <w:rPr>
                <w:rFonts w:cs="Arial"/>
                <w:sz w:val="22"/>
              </w:rPr>
              <w:t>18</w:t>
            </w:r>
          </w:p>
        </w:tc>
        <w:tc>
          <w:tcPr>
            <w:tcW w:w="1134" w:type="dxa"/>
          </w:tcPr>
          <w:p w14:paraId="3539707E" w14:textId="77777777" w:rsidR="005245D1" w:rsidRPr="000030BA" w:rsidRDefault="00922BB7" w:rsidP="005245D1">
            <w:pPr>
              <w:pStyle w:val="Rquotation"/>
              <w:tabs>
                <w:tab w:val="decimal" w:pos="685"/>
              </w:tabs>
              <w:spacing w:before="20" w:after="20"/>
              <w:ind w:left="0"/>
              <w:rPr>
                <w:rFonts w:cs="Arial"/>
                <w:sz w:val="22"/>
              </w:rPr>
            </w:pPr>
            <w:r w:rsidRPr="000030BA">
              <w:rPr>
                <w:rFonts w:cs="Arial"/>
                <w:sz w:val="22"/>
              </w:rPr>
              <w:t>117</w:t>
            </w:r>
          </w:p>
        </w:tc>
        <w:tc>
          <w:tcPr>
            <w:tcW w:w="708" w:type="dxa"/>
          </w:tcPr>
          <w:p w14:paraId="779D6145" w14:textId="77777777" w:rsidR="005245D1" w:rsidRPr="000030BA" w:rsidRDefault="00922BB7" w:rsidP="005245D1">
            <w:pPr>
              <w:pStyle w:val="Rquotation"/>
              <w:tabs>
                <w:tab w:val="decimal" w:pos="420"/>
              </w:tabs>
              <w:spacing w:before="20" w:after="20"/>
              <w:ind w:left="0"/>
              <w:rPr>
                <w:rFonts w:cs="Arial"/>
                <w:sz w:val="22"/>
              </w:rPr>
            </w:pPr>
            <w:r w:rsidRPr="000030BA">
              <w:rPr>
                <w:rFonts w:cs="Arial"/>
                <w:sz w:val="22"/>
              </w:rPr>
              <w:t>60</w:t>
            </w:r>
          </w:p>
        </w:tc>
      </w:tr>
      <w:tr w:rsidR="0024235B" w14:paraId="0C3D2D7F" w14:textId="77777777" w:rsidTr="005245D1">
        <w:tc>
          <w:tcPr>
            <w:tcW w:w="1271" w:type="dxa"/>
            <w:tcBorders>
              <w:right w:val="nil"/>
            </w:tcBorders>
          </w:tcPr>
          <w:p w14:paraId="620EDF3B" w14:textId="77777777" w:rsidR="005245D1" w:rsidRPr="000030BA" w:rsidRDefault="00BF1841" w:rsidP="005245D1">
            <w:pPr>
              <w:pStyle w:val="Rquotation"/>
              <w:spacing w:before="20" w:after="20"/>
              <w:ind w:left="0"/>
              <w:rPr>
                <w:rFonts w:cs="Arial"/>
                <w:b/>
                <w:sz w:val="22"/>
              </w:rPr>
            </w:pPr>
          </w:p>
        </w:tc>
        <w:tc>
          <w:tcPr>
            <w:tcW w:w="2977" w:type="dxa"/>
            <w:gridSpan w:val="3"/>
            <w:tcBorders>
              <w:left w:val="nil"/>
            </w:tcBorders>
          </w:tcPr>
          <w:p w14:paraId="6F96C1C2" w14:textId="77777777" w:rsidR="005245D1" w:rsidRPr="000030BA" w:rsidRDefault="00922BB7" w:rsidP="005245D1">
            <w:pPr>
              <w:pStyle w:val="Rquotation"/>
              <w:spacing w:before="20" w:after="20"/>
              <w:ind w:left="0"/>
              <w:rPr>
                <w:rFonts w:cs="Arial"/>
                <w:b/>
                <w:sz w:val="22"/>
              </w:rPr>
            </w:pPr>
            <w:r w:rsidRPr="000030BA">
              <w:rPr>
                <w:rFonts w:cs="Arial"/>
                <w:b/>
                <w:sz w:val="22"/>
              </w:rPr>
              <w:t>2018/19</w:t>
            </w:r>
          </w:p>
        </w:tc>
        <w:tc>
          <w:tcPr>
            <w:tcW w:w="709" w:type="dxa"/>
          </w:tcPr>
          <w:p w14:paraId="05941BD4" w14:textId="77777777" w:rsidR="005245D1" w:rsidRPr="000030BA" w:rsidRDefault="00922BB7" w:rsidP="005245D1">
            <w:pPr>
              <w:pStyle w:val="Rquotation"/>
              <w:tabs>
                <w:tab w:val="decimal" w:pos="456"/>
              </w:tabs>
              <w:spacing w:before="20" w:after="20"/>
              <w:ind w:left="0"/>
              <w:rPr>
                <w:rFonts w:cs="Arial"/>
                <w:b/>
                <w:sz w:val="22"/>
              </w:rPr>
            </w:pPr>
            <w:r w:rsidRPr="000030BA">
              <w:rPr>
                <w:rFonts w:cs="Arial"/>
                <w:b/>
                <w:sz w:val="22"/>
              </w:rPr>
              <w:t>2</w:t>
            </w:r>
            <w:r>
              <w:rPr>
                <w:rFonts w:cs="Arial"/>
                <w:b/>
                <w:sz w:val="22"/>
              </w:rPr>
              <w:t>14</w:t>
            </w:r>
          </w:p>
        </w:tc>
        <w:tc>
          <w:tcPr>
            <w:tcW w:w="850" w:type="dxa"/>
          </w:tcPr>
          <w:p w14:paraId="1DFC3A4E" w14:textId="77777777" w:rsidR="005245D1" w:rsidRPr="000030BA" w:rsidRDefault="00922BB7" w:rsidP="00CA6722">
            <w:pPr>
              <w:pStyle w:val="Rquotation"/>
              <w:tabs>
                <w:tab w:val="decimal" w:pos="513"/>
              </w:tabs>
              <w:spacing w:before="20" w:after="20"/>
              <w:ind w:left="0"/>
              <w:rPr>
                <w:rFonts w:cs="Arial"/>
                <w:sz w:val="22"/>
              </w:rPr>
            </w:pPr>
            <w:r w:rsidRPr="000030BA">
              <w:rPr>
                <w:rFonts w:cs="Arial"/>
                <w:sz w:val="22"/>
              </w:rPr>
              <w:t>5</w:t>
            </w:r>
            <w:r>
              <w:rPr>
                <w:rFonts w:cs="Arial"/>
                <w:sz w:val="22"/>
              </w:rPr>
              <w:t>1</w:t>
            </w:r>
            <w:r w:rsidRPr="000030BA">
              <w:rPr>
                <w:rFonts w:cs="Arial"/>
                <w:sz w:val="22"/>
              </w:rPr>
              <w:t>%</w:t>
            </w:r>
          </w:p>
        </w:tc>
        <w:tc>
          <w:tcPr>
            <w:tcW w:w="851" w:type="dxa"/>
          </w:tcPr>
          <w:p w14:paraId="70559534" w14:textId="77777777" w:rsidR="005245D1" w:rsidRPr="000030BA" w:rsidRDefault="00922BB7" w:rsidP="005245D1">
            <w:pPr>
              <w:pStyle w:val="Rquotation"/>
              <w:tabs>
                <w:tab w:val="decimal" w:pos="460"/>
              </w:tabs>
              <w:spacing w:before="20" w:after="20"/>
              <w:ind w:left="0"/>
              <w:rPr>
                <w:rFonts w:cs="Arial"/>
                <w:sz w:val="22"/>
              </w:rPr>
            </w:pPr>
            <w:r w:rsidRPr="000030BA">
              <w:rPr>
                <w:rFonts w:cs="Arial"/>
                <w:sz w:val="22"/>
              </w:rPr>
              <w:t>1</w:t>
            </w:r>
            <w:r>
              <w:rPr>
                <w:rFonts w:cs="Arial"/>
                <w:sz w:val="22"/>
              </w:rPr>
              <w:t>2</w:t>
            </w:r>
          </w:p>
        </w:tc>
        <w:tc>
          <w:tcPr>
            <w:tcW w:w="1134" w:type="dxa"/>
          </w:tcPr>
          <w:p w14:paraId="1E49E80D" w14:textId="77777777" w:rsidR="005245D1" w:rsidRPr="000030BA" w:rsidRDefault="00922BB7" w:rsidP="005245D1">
            <w:pPr>
              <w:pStyle w:val="Rquotation"/>
              <w:tabs>
                <w:tab w:val="decimal" w:pos="685"/>
              </w:tabs>
              <w:spacing w:before="20" w:after="20"/>
              <w:ind w:left="0"/>
              <w:rPr>
                <w:rFonts w:cs="Arial"/>
                <w:sz w:val="22"/>
              </w:rPr>
            </w:pPr>
            <w:r w:rsidRPr="000030BA">
              <w:rPr>
                <w:rFonts w:cs="Arial"/>
                <w:sz w:val="22"/>
              </w:rPr>
              <w:t>1</w:t>
            </w:r>
            <w:r>
              <w:rPr>
                <w:rFonts w:cs="Arial"/>
                <w:sz w:val="22"/>
              </w:rPr>
              <w:t>27</w:t>
            </w:r>
          </w:p>
        </w:tc>
        <w:tc>
          <w:tcPr>
            <w:tcW w:w="708" w:type="dxa"/>
          </w:tcPr>
          <w:p w14:paraId="1457ED74" w14:textId="77777777" w:rsidR="005245D1" w:rsidRPr="000030BA" w:rsidRDefault="00922BB7" w:rsidP="005245D1">
            <w:pPr>
              <w:pStyle w:val="Rquotation"/>
              <w:tabs>
                <w:tab w:val="decimal" w:pos="420"/>
              </w:tabs>
              <w:spacing w:before="20" w:after="20"/>
              <w:ind w:left="0"/>
              <w:rPr>
                <w:rFonts w:cs="Arial"/>
                <w:sz w:val="22"/>
              </w:rPr>
            </w:pPr>
            <w:r>
              <w:rPr>
                <w:rFonts w:cs="Arial"/>
                <w:sz w:val="22"/>
              </w:rPr>
              <w:t>75</w:t>
            </w:r>
          </w:p>
        </w:tc>
      </w:tr>
      <w:tr w:rsidR="0024235B" w14:paraId="67C7EB41" w14:textId="77777777" w:rsidTr="005245D1">
        <w:tc>
          <w:tcPr>
            <w:tcW w:w="1271" w:type="dxa"/>
            <w:tcBorders>
              <w:right w:val="nil"/>
            </w:tcBorders>
          </w:tcPr>
          <w:p w14:paraId="22071703" w14:textId="77777777" w:rsidR="005245D1" w:rsidRPr="000030BA" w:rsidRDefault="00BF1841" w:rsidP="005245D1">
            <w:pPr>
              <w:pStyle w:val="Rquotation"/>
              <w:spacing w:before="20" w:after="20"/>
              <w:ind w:left="0"/>
              <w:rPr>
                <w:rFonts w:cs="Arial"/>
                <w:b/>
                <w:sz w:val="22"/>
              </w:rPr>
            </w:pPr>
          </w:p>
        </w:tc>
        <w:tc>
          <w:tcPr>
            <w:tcW w:w="2977" w:type="dxa"/>
            <w:gridSpan w:val="3"/>
            <w:tcBorders>
              <w:left w:val="nil"/>
            </w:tcBorders>
          </w:tcPr>
          <w:p w14:paraId="050A9893" w14:textId="77777777" w:rsidR="005245D1" w:rsidRPr="000030BA" w:rsidRDefault="00922BB7" w:rsidP="005245D1">
            <w:pPr>
              <w:pStyle w:val="Rquotation"/>
              <w:spacing w:before="20" w:after="20"/>
              <w:ind w:left="0"/>
              <w:rPr>
                <w:rFonts w:cs="Arial"/>
                <w:b/>
                <w:sz w:val="22"/>
              </w:rPr>
            </w:pPr>
            <w:r w:rsidRPr="000030BA">
              <w:rPr>
                <w:rFonts w:cs="Arial"/>
                <w:b/>
                <w:sz w:val="22"/>
              </w:rPr>
              <w:t>2019/20</w:t>
            </w:r>
          </w:p>
        </w:tc>
        <w:tc>
          <w:tcPr>
            <w:tcW w:w="709" w:type="dxa"/>
          </w:tcPr>
          <w:p w14:paraId="028BE1A6" w14:textId="77777777" w:rsidR="005245D1" w:rsidRPr="000030BA" w:rsidRDefault="00922BB7" w:rsidP="005245D1">
            <w:pPr>
              <w:pStyle w:val="Rquotation"/>
              <w:tabs>
                <w:tab w:val="decimal" w:pos="456"/>
              </w:tabs>
              <w:spacing w:before="20" w:after="20"/>
              <w:ind w:left="0"/>
              <w:rPr>
                <w:rFonts w:cs="Arial"/>
                <w:b/>
                <w:sz w:val="22"/>
              </w:rPr>
            </w:pPr>
            <w:r>
              <w:rPr>
                <w:rFonts w:cs="Arial"/>
                <w:b/>
                <w:sz w:val="22"/>
              </w:rPr>
              <w:t>8</w:t>
            </w:r>
          </w:p>
        </w:tc>
        <w:tc>
          <w:tcPr>
            <w:tcW w:w="850" w:type="dxa"/>
          </w:tcPr>
          <w:p w14:paraId="4B5C5128" w14:textId="77777777" w:rsidR="005245D1" w:rsidRPr="000030BA" w:rsidRDefault="00922BB7" w:rsidP="005245D1">
            <w:pPr>
              <w:pStyle w:val="Rquotation"/>
              <w:tabs>
                <w:tab w:val="decimal" w:pos="513"/>
              </w:tabs>
              <w:spacing w:before="20" w:after="20"/>
              <w:ind w:left="0"/>
              <w:rPr>
                <w:rFonts w:cs="Arial"/>
                <w:sz w:val="22"/>
              </w:rPr>
            </w:pPr>
            <w:r>
              <w:rPr>
                <w:rFonts w:cs="Arial"/>
                <w:sz w:val="22"/>
              </w:rPr>
              <w:t>2</w:t>
            </w:r>
            <w:r w:rsidRPr="000030BA">
              <w:rPr>
                <w:rFonts w:cs="Arial"/>
                <w:sz w:val="22"/>
              </w:rPr>
              <w:t>%</w:t>
            </w:r>
          </w:p>
        </w:tc>
        <w:tc>
          <w:tcPr>
            <w:tcW w:w="851" w:type="dxa"/>
          </w:tcPr>
          <w:p w14:paraId="2FA239AF" w14:textId="77777777" w:rsidR="005245D1" w:rsidRPr="000030BA" w:rsidRDefault="00922BB7" w:rsidP="005245D1">
            <w:pPr>
              <w:pStyle w:val="Rquotation"/>
              <w:tabs>
                <w:tab w:val="decimal" w:pos="460"/>
              </w:tabs>
              <w:spacing w:before="20" w:after="20"/>
              <w:ind w:left="0"/>
              <w:rPr>
                <w:rFonts w:cs="Arial"/>
                <w:sz w:val="22"/>
              </w:rPr>
            </w:pPr>
            <w:r w:rsidRPr="000030BA">
              <w:rPr>
                <w:rFonts w:cs="Arial"/>
                <w:sz w:val="22"/>
              </w:rPr>
              <w:t>-</w:t>
            </w:r>
          </w:p>
        </w:tc>
        <w:tc>
          <w:tcPr>
            <w:tcW w:w="1134" w:type="dxa"/>
          </w:tcPr>
          <w:p w14:paraId="7D8BCA5C" w14:textId="77777777" w:rsidR="005245D1" w:rsidRPr="000030BA" w:rsidRDefault="00922BB7" w:rsidP="005245D1">
            <w:pPr>
              <w:pStyle w:val="Rquotation"/>
              <w:tabs>
                <w:tab w:val="decimal" w:pos="685"/>
              </w:tabs>
              <w:spacing w:before="20" w:after="20"/>
              <w:ind w:left="0"/>
              <w:rPr>
                <w:rFonts w:cs="Arial"/>
                <w:sz w:val="22"/>
              </w:rPr>
            </w:pPr>
            <w:r>
              <w:rPr>
                <w:rFonts w:cs="Arial"/>
                <w:sz w:val="22"/>
              </w:rPr>
              <w:t>2</w:t>
            </w:r>
          </w:p>
        </w:tc>
        <w:tc>
          <w:tcPr>
            <w:tcW w:w="708" w:type="dxa"/>
          </w:tcPr>
          <w:p w14:paraId="76DF18D0" w14:textId="77777777" w:rsidR="005245D1" w:rsidRPr="000030BA" w:rsidRDefault="00922BB7" w:rsidP="005245D1">
            <w:pPr>
              <w:pStyle w:val="Rquotation"/>
              <w:tabs>
                <w:tab w:val="decimal" w:pos="420"/>
              </w:tabs>
              <w:spacing w:before="20" w:after="20"/>
              <w:ind w:left="0"/>
              <w:rPr>
                <w:rFonts w:cs="Arial"/>
                <w:sz w:val="22"/>
              </w:rPr>
            </w:pPr>
            <w:r>
              <w:rPr>
                <w:rFonts w:cs="Arial"/>
                <w:sz w:val="22"/>
              </w:rPr>
              <w:t>6</w:t>
            </w:r>
          </w:p>
        </w:tc>
      </w:tr>
      <w:tr w:rsidR="0024235B" w14:paraId="3BAE52B4" w14:textId="77777777" w:rsidTr="004250A7">
        <w:tc>
          <w:tcPr>
            <w:tcW w:w="8500" w:type="dxa"/>
            <w:gridSpan w:val="9"/>
          </w:tcPr>
          <w:p w14:paraId="7B991B04" w14:textId="77777777" w:rsidR="005245D1" w:rsidRPr="000030BA" w:rsidRDefault="00922BB7" w:rsidP="005245D1">
            <w:pPr>
              <w:pStyle w:val="Rquotation"/>
              <w:spacing w:before="20" w:after="20"/>
              <w:ind w:left="311" w:hanging="311"/>
              <w:rPr>
                <w:rFonts w:cs="Arial"/>
                <w:sz w:val="22"/>
              </w:rPr>
            </w:pPr>
            <w:r w:rsidRPr="005245D1">
              <w:rPr>
                <w:rFonts w:cs="Arial"/>
                <w:szCs w:val="24"/>
              </w:rPr>
              <w:t>*</w:t>
            </w:r>
            <w:r>
              <w:rPr>
                <w:rFonts w:cs="Arial"/>
                <w:szCs w:val="24"/>
              </w:rPr>
              <w:t xml:space="preserve"> </w:t>
            </w:r>
            <w:r>
              <w:rPr>
                <w:rFonts w:cs="Arial"/>
                <w:szCs w:val="24"/>
              </w:rPr>
              <w:tab/>
              <w:t>The figures published in June</w:t>
            </w:r>
            <w:r w:rsidRPr="00C17EA6">
              <w:rPr>
                <w:rFonts w:cs="Arial"/>
                <w:szCs w:val="24"/>
              </w:rPr>
              <w:t xml:space="preserve"> </w:t>
            </w:r>
            <w:r>
              <w:rPr>
                <w:rFonts w:cs="Arial"/>
                <w:szCs w:val="24"/>
              </w:rPr>
              <w:t xml:space="preserve">2019 </w:t>
            </w:r>
            <w:r w:rsidRPr="00C17EA6">
              <w:rPr>
                <w:rFonts w:cs="Arial"/>
                <w:szCs w:val="24"/>
              </w:rPr>
              <w:t xml:space="preserve">included </w:t>
            </w:r>
            <w:r>
              <w:rPr>
                <w:rFonts w:cs="Arial"/>
                <w:szCs w:val="24"/>
              </w:rPr>
              <w:t xml:space="preserve">89 </w:t>
            </w:r>
            <w:r w:rsidRPr="00C17EA6">
              <w:rPr>
                <w:rFonts w:cs="Arial"/>
                <w:szCs w:val="24"/>
              </w:rPr>
              <w:t xml:space="preserve">actions </w:t>
            </w:r>
            <w:r>
              <w:rPr>
                <w:rFonts w:cs="Arial"/>
                <w:szCs w:val="24"/>
              </w:rPr>
              <w:t xml:space="preserve">in total </w:t>
            </w:r>
            <w:r w:rsidRPr="00C17EA6">
              <w:rPr>
                <w:rFonts w:cs="Arial"/>
                <w:szCs w:val="24"/>
              </w:rPr>
              <w:t>arising from work in 2016/17 that ha</w:t>
            </w:r>
            <w:r>
              <w:rPr>
                <w:rFonts w:cs="Arial"/>
                <w:szCs w:val="24"/>
              </w:rPr>
              <w:t>ve</w:t>
            </w:r>
            <w:r w:rsidRPr="00C17EA6">
              <w:rPr>
                <w:rFonts w:cs="Arial"/>
                <w:szCs w:val="24"/>
              </w:rPr>
              <w:t xml:space="preserve"> been excluded from </w:t>
            </w:r>
            <w:r>
              <w:rPr>
                <w:rFonts w:cs="Arial"/>
                <w:szCs w:val="24"/>
              </w:rPr>
              <w:t xml:space="preserve">these </w:t>
            </w:r>
            <w:r w:rsidRPr="00C17EA6">
              <w:rPr>
                <w:rFonts w:cs="Arial"/>
                <w:szCs w:val="24"/>
              </w:rPr>
              <w:t>figures</w:t>
            </w:r>
            <w:r>
              <w:rPr>
                <w:rFonts w:cs="Arial"/>
                <w:szCs w:val="24"/>
              </w:rPr>
              <w:t>.</w:t>
            </w:r>
          </w:p>
        </w:tc>
      </w:tr>
    </w:tbl>
    <w:p w14:paraId="4BFCFD09" w14:textId="77777777" w:rsidR="0062439C" w:rsidRDefault="0062439C" w:rsidP="00C17EA6">
      <w:pPr>
        <w:pStyle w:val="Rsub-heading"/>
      </w:pPr>
    </w:p>
    <w:p w14:paraId="4108AF62" w14:textId="77777777" w:rsidR="0062439C" w:rsidRDefault="0062439C">
      <w:pPr>
        <w:spacing w:after="160" w:line="259" w:lineRule="auto"/>
        <w:rPr>
          <w:rFonts w:ascii="Arial" w:eastAsiaTheme="minorEastAsia" w:hAnsi="Arial" w:cstheme="minorBidi"/>
          <w:b/>
          <w:sz w:val="24"/>
          <w:szCs w:val="22"/>
        </w:rPr>
      </w:pPr>
      <w:r>
        <w:br w:type="page"/>
      </w:r>
    </w:p>
    <w:p w14:paraId="29A78CBF" w14:textId="43842EEA" w:rsidR="001A118A" w:rsidRDefault="00922BB7" w:rsidP="00C17EA6">
      <w:pPr>
        <w:pStyle w:val="Rsub-heading"/>
      </w:pPr>
      <w:r>
        <w:lastRenderedPageBreak/>
        <w:t>Actions arising in 2016/17</w:t>
      </w:r>
    </w:p>
    <w:p w14:paraId="1BCF4E8F" w14:textId="77777777" w:rsidR="00C86F0C" w:rsidRPr="0053433A" w:rsidRDefault="00922BB7" w:rsidP="0053433A">
      <w:pPr>
        <w:pStyle w:val="Rparagraph"/>
      </w:pPr>
      <w:r>
        <w:t>It was reported in July 2019 that there were just two actions still outstanding from 2016/17, both relating to governance of the Lancashire Enterprise Partnership. These have both now been addressed and managers are reporting that all actions arising in that year have either been completed (70 actions) or superseded (19 actions).</w:t>
      </w:r>
    </w:p>
    <w:p w14:paraId="7B058F40" w14:textId="77777777" w:rsidR="001A118A" w:rsidRDefault="00922BB7" w:rsidP="00C17EA6">
      <w:pPr>
        <w:pStyle w:val="Rsub-heading"/>
      </w:pPr>
      <w:r>
        <w:t>Actions arising in 2017/18</w:t>
      </w:r>
    </w:p>
    <w:p w14:paraId="1F557925" w14:textId="7E28E227" w:rsidR="003E74F1" w:rsidRDefault="00922BB7" w:rsidP="00CE4E92">
      <w:pPr>
        <w:pStyle w:val="Rparagraph"/>
      </w:pPr>
      <w:r>
        <w:t>Some of the actions arising from 2017/18 are proving more intractable and at this point six remain incomplete, two of which were regarded as addressing high risks</w:t>
      </w:r>
      <w:r w:rsidR="00196EC7">
        <w:t xml:space="preserve"> as set out in the following paragraphs.</w:t>
      </w:r>
    </w:p>
    <w:p w14:paraId="2D1553B0" w14:textId="77777777" w:rsidR="002E3B34" w:rsidRPr="00440541" w:rsidRDefault="00922BB7" w:rsidP="00C17EA6">
      <w:pPr>
        <w:pStyle w:val="Rsub-heading"/>
      </w:pPr>
      <w:r>
        <w:t>T</w:t>
      </w:r>
      <w:r w:rsidRPr="002E3B34">
        <w:t>ransition fr</w:t>
      </w:r>
      <w:r>
        <w:t>om children's to adult services</w:t>
      </w:r>
      <w:r w:rsidRPr="003340C8">
        <w:rPr>
          <w:b w:val="0"/>
        </w:rPr>
        <w:tab/>
        <w:t>(High risk)</w:t>
      </w:r>
    </w:p>
    <w:p w14:paraId="26385936" w14:textId="134D062D" w:rsidR="003E74F1" w:rsidRDefault="001110FD" w:rsidP="009533C0">
      <w:pPr>
        <w:pStyle w:val="Rparagraph"/>
      </w:pPr>
      <w:r w:rsidRPr="00C4041F">
        <w:rPr>
          <w:rFonts w:cs="Arial"/>
          <w:szCs w:val="24"/>
          <w:lang w:eastAsia="en-GB"/>
        </w:rPr>
        <w:t>The actions agreed in July 2018 to improve the process by which children and young people make the transition from children's services and access adults' services were subsumed within a single action for the directors of Children's and Adult Services. It was agreed that they would consider the future strategic direction of transitions services including where key responsibilities should lie, and how information would be gathered and used to best effect. A new transitions strategy would articulate and coordinate the respective roles and responsibilities of Children's Services and Adults Services and a single set of policy and guidance notes would be produced and published for use across both services.</w:t>
      </w:r>
    </w:p>
    <w:p w14:paraId="5AC33107" w14:textId="2C51E949" w:rsidR="00553185" w:rsidRDefault="001110FD" w:rsidP="004B177D">
      <w:pPr>
        <w:pStyle w:val="Rparagraph"/>
      </w:pPr>
      <w:r>
        <w:rPr>
          <w:rFonts w:cs="Arial"/>
          <w:szCs w:val="24"/>
          <w:lang w:eastAsia="en-GB"/>
        </w:rPr>
        <w:t xml:space="preserve">At this point the director of education and skills and the director of adult social care transformation co-chair a group that is overseeing both the implementation of this action plan and the county council's response to Ofsted's inspection of provision for children with special educational needs and disabilities (SEND). </w:t>
      </w:r>
      <w:r w:rsidRPr="004968D7">
        <w:rPr>
          <w:rFonts w:cs="Arial"/>
          <w:szCs w:val="24"/>
          <w:lang w:eastAsia="en-GB"/>
        </w:rPr>
        <w:t>The aim of this group is to manage the interdependencies of improvement across three areas of transition – health, education and social care – and, where necessary, review the current outcome measures, identifying additional measures if necessary.</w:t>
      </w:r>
      <w:r>
        <w:rPr>
          <w:rFonts w:cs="Arial"/>
          <w:szCs w:val="24"/>
          <w:lang w:eastAsia="en-GB"/>
        </w:rPr>
        <w:t> The head of the Learning Disabilities, Autism and Mental Health Service also chairs a group addressing the transition to adulthood that reports to the SEND Partnership Board</w:t>
      </w:r>
      <w:r w:rsidR="00922BB7" w:rsidRPr="00A76956">
        <w:t>.</w:t>
      </w:r>
    </w:p>
    <w:p w14:paraId="5D6F5E33" w14:textId="1F5BD056" w:rsidR="001110FD" w:rsidRDefault="001110FD" w:rsidP="004B177D">
      <w:pPr>
        <w:pStyle w:val="Rparagraph"/>
      </w:pPr>
      <w:r>
        <w:rPr>
          <w:rFonts w:cs="Arial"/>
          <w:szCs w:val="24"/>
          <w:lang w:eastAsia="en-GB"/>
        </w:rPr>
        <w:t>A</w:t>
      </w:r>
      <w:r w:rsidRPr="00C4041F">
        <w:rPr>
          <w:rFonts w:cs="Arial"/>
          <w:szCs w:val="24"/>
          <w:lang w:eastAsia="en-GB"/>
        </w:rPr>
        <w:t xml:space="preserve">dditional capacity has </w:t>
      </w:r>
      <w:r>
        <w:rPr>
          <w:rFonts w:cs="Arial"/>
          <w:szCs w:val="24"/>
          <w:lang w:eastAsia="en-GB"/>
        </w:rPr>
        <w:t xml:space="preserve">recently </w:t>
      </w:r>
      <w:r w:rsidRPr="00C4041F">
        <w:rPr>
          <w:rFonts w:cs="Arial"/>
          <w:szCs w:val="24"/>
          <w:lang w:eastAsia="en-GB"/>
        </w:rPr>
        <w:t>been secured</w:t>
      </w:r>
      <w:r>
        <w:rPr>
          <w:rFonts w:cs="Arial"/>
          <w:szCs w:val="24"/>
          <w:lang w:eastAsia="en-GB"/>
        </w:rPr>
        <w:t xml:space="preserve"> to accelerate progress. E</w:t>
      </w:r>
      <w:r w:rsidRPr="00C4041F">
        <w:rPr>
          <w:rFonts w:cs="Arial"/>
          <w:szCs w:val="24"/>
          <w:lang w:eastAsia="en-GB"/>
        </w:rPr>
        <w:t xml:space="preserve">xternal </w:t>
      </w:r>
      <w:r>
        <w:rPr>
          <w:rFonts w:cs="Arial"/>
          <w:szCs w:val="24"/>
          <w:lang w:eastAsia="en-GB"/>
        </w:rPr>
        <w:t xml:space="preserve">specialist </w:t>
      </w:r>
      <w:r w:rsidRPr="00C4041F">
        <w:rPr>
          <w:rFonts w:cs="Arial"/>
          <w:szCs w:val="24"/>
          <w:lang w:eastAsia="en-GB"/>
        </w:rPr>
        <w:t xml:space="preserve">auditors have recently completed a thorough review of 40 transition plans to ensure </w:t>
      </w:r>
      <w:r>
        <w:rPr>
          <w:rFonts w:cs="Arial"/>
          <w:szCs w:val="24"/>
          <w:lang w:eastAsia="en-GB"/>
        </w:rPr>
        <w:t xml:space="preserve">that practice is </w:t>
      </w:r>
      <w:r w:rsidRPr="00C4041F">
        <w:rPr>
          <w:rFonts w:cs="Arial"/>
          <w:szCs w:val="24"/>
          <w:lang w:eastAsia="en-GB"/>
        </w:rPr>
        <w:t xml:space="preserve">improved </w:t>
      </w:r>
      <w:r>
        <w:rPr>
          <w:rFonts w:cs="Arial"/>
          <w:szCs w:val="24"/>
          <w:lang w:eastAsia="en-GB"/>
        </w:rPr>
        <w:t xml:space="preserve">by </w:t>
      </w:r>
      <w:r w:rsidRPr="00C4041F">
        <w:rPr>
          <w:rFonts w:cs="Arial"/>
          <w:szCs w:val="24"/>
          <w:lang w:eastAsia="en-GB"/>
        </w:rPr>
        <w:t>evidence and informed by the experience</w:t>
      </w:r>
      <w:r>
        <w:rPr>
          <w:rFonts w:cs="Arial"/>
          <w:szCs w:val="24"/>
          <w:lang w:eastAsia="en-GB"/>
        </w:rPr>
        <w:t>s</w:t>
      </w:r>
      <w:r w:rsidRPr="00C4041F">
        <w:rPr>
          <w:rFonts w:cs="Arial"/>
          <w:szCs w:val="24"/>
          <w:lang w:eastAsia="en-GB"/>
        </w:rPr>
        <w:t xml:space="preserve"> of young people. Feedback will be provided to </w:t>
      </w:r>
      <w:r>
        <w:rPr>
          <w:rFonts w:cs="Arial"/>
          <w:szCs w:val="24"/>
          <w:lang w:eastAsia="en-GB"/>
        </w:rPr>
        <w:t xml:space="preserve">the officers who coordinate young adults' education, health and care plans </w:t>
      </w:r>
      <w:r w:rsidRPr="00C4041F">
        <w:rPr>
          <w:rFonts w:cs="Arial"/>
          <w:szCs w:val="24"/>
          <w:lang w:eastAsia="en-GB"/>
        </w:rPr>
        <w:t xml:space="preserve">and shared with </w:t>
      </w:r>
      <w:r>
        <w:rPr>
          <w:rFonts w:cs="Arial"/>
          <w:szCs w:val="24"/>
          <w:lang w:eastAsia="en-GB"/>
        </w:rPr>
        <w:t xml:space="preserve">external </w:t>
      </w:r>
      <w:r w:rsidRPr="00C4041F">
        <w:rPr>
          <w:rFonts w:cs="Arial"/>
          <w:szCs w:val="24"/>
          <w:lang w:eastAsia="en-GB"/>
        </w:rPr>
        <w:t xml:space="preserve">partners to inform </w:t>
      </w:r>
      <w:r>
        <w:rPr>
          <w:rFonts w:cs="Arial"/>
          <w:szCs w:val="24"/>
          <w:lang w:eastAsia="en-GB"/>
        </w:rPr>
        <w:t>improvement</w:t>
      </w:r>
      <w:r w:rsidRPr="00C4041F">
        <w:rPr>
          <w:rFonts w:cs="Arial"/>
          <w:szCs w:val="24"/>
          <w:lang w:eastAsia="en-GB"/>
        </w:rPr>
        <w:t>. A</w:t>
      </w:r>
      <w:r>
        <w:rPr>
          <w:rFonts w:cs="Arial"/>
          <w:szCs w:val="24"/>
          <w:lang w:eastAsia="en-GB"/>
        </w:rPr>
        <w:t xml:space="preserve">n additional, </w:t>
      </w:r>
      <w:r w:rsidRPr="00C4041F">
        <w:rPr>
          <w:rFonts w:cs="Arial"/>
          <w:szCs w:val="24"/>
          <w:lang w:eastAsia="en-GB"/>
        </w:rPr>
        <w:t xml:space="preserve">experienced </w:t>
      </w:r>
      <w:r>
        <w:rPr>
          <w:rFonts w:cs="Arial"/>
          <w:szCs w:val="24"/>
          <w:lang w:eastAsia="en-GB"/>
        </w:rPr>
        <w:t xml:space="preserve">temporary officer </w:t>
      </w:r>
      <w:r w:rsidRPr="00C4041F">
        <w:rPr>
          <w:rFonts w:cs="Arial"/>
          <w:szCs w:val="24"/>
          <w:lang w:eastAsia="en-GB"/>
        </w:rPr>
        <w:t xml:space="preserve">has </w:t>
      </w:r>
      <w:r>
        <w:rPr>
          <w:rFonts w:cs="Arial"/>
          <w:szCs w:val="24"/>
          <w:lang w:eastAsia="en-GB"/>
        </w:rPr>
        <w:t>been employed to research</w:t>
      </w:r>
      <w:r w:rsidRPr="00C4041F">
        <w:rPr>
          <w:rFonts w:cs="Arial"/>
          <w:szCs w:val="24"/>
          <w:lang w:eastAsia="en-GB"/>
        </w:rPr>
        <w:t xml:space="preserve"> best practice, draft a </w:t>
      </w:r>
      <w:r>
        <w:rPr>
          <w:rFonts w:cs="Arial"/>
          <w:szCs w:val="24"/>
          <w:lang w:eastAsia="en-GB"/>
        </w:rPr>
        <w:t>g</w:t>
      </w:r>
      <w:r w:rsidRPr="00C4041F">
        <w:rPr>
          <w:rFonts w:cs="Arial"/>
          <w:szCs w:val="24"/>
          <w:lang w:eastAsia="en-GB"/>
        </w:rPr>
        <w:t>uide for young people, parent</w:t>
      </w:r>
      <w:r>
        <w:rPr>
          <w:rFonts w:cs="Arial"/>
          <w:szCs w:val="24"/>
          <w:lang w:eastAsia="en-GB"/>
        </w:rPr>
        <w:t>s,</w:t>
      </w:r>
      <w:r w:rsidRPr="00C4041F">
        <w:rPr>
          <w:rFonts w:cs="Arial"/>
          <w:szCs w:val="24"/>
          <w:lang w:eastAsia="en-GB"/>
        </w:rPr>
        <w:t xml:space="preserve"> carers and partners </w:t>
      </w:r>
      <w:r>
        <w:rPr>
          <w:rFonts w:cs="Arial"/>
          <w:szCs w:val="24"/>
          <w:lang w:eastAsia="en-GB"/>
        </w:rPr>
        <w:t>('Steps to Adulthood')</w:t>
      </w:r>
      <w:r w:rsidRPr="00C4041F">
        <w:rPr>
          <w:rFonts w:cs="Arial"/>
          <w:szCs w:val="24"/>
          <w:lang w:eastAsia="en-GB"/>
        </w:rPr>
        <w:t xml:space="preserve"> </w:t>
      </w:r>
      <w:r>
        <w:rPr>
          <w:rFonts w:cs="Arial"/>
          <w:szCs w:val="24"/>
          <w:lang w:eastAsia="en-GB"/>
        </w:rPr>
        <w:t>and</w:t>
      </w:r>
      <w:r w:rsidR="002F65C2">
        <w:rPr>
          <w:rFonts w:cs="Arial"/>
          <w:szCs w:val="24"/>
          <w:lang w:eastAsia="en-GB"/>
        </w:rPr>
        <w:t xml:space="preserve"> to</w:t>
      </w:r>
      <w:r>
        <w:rPr>
          <w:rFonts w:cs="Arial"/>
          <w:szCs w:val="24"/>
          <w:lang w:eastAsia="en-GB"/>
        </w:rPr>
        <w:t xml:space="preserve"> develop</w:t>
      </w:r>
      <w:r w:rsidRPr="00C4041F">
        <w:rPr>
          <w:rFonts w:cs="Arial"/>
          <w:szCs w:val="24"/>
          <w:lang w:eastAsia="en-GB"/>
        </w:rPr>
        <w:t xml:space="preserve"> a detailed action plan </w:t>
      </w:r>
      <w:r>
        <w:rPr>
          <w:rFonts w:cs="Arial"/>
          <w:szCs w:val="24"/>
          <w:lang w:eastAsia="en-GB"/>
        </w:rPr>
        <w:t>to ensure</w:t>
      </w:r>
      <w:r w:rsidRPr="00C4041F">
        <w:rPr>
          <w:rFonts w:cs="Arial"/>
          <w:szCs w:val="24"/>
          <w:lang w:eastAsia="en-GB"/>
        </w:rPr>
        <w:t xml:space="preserve"> gr</w:t>
      </w:r>
      <w:r>
        <w:rPr>
          <w:rFonts w:cs="Arial"/>
          <w:szCs w:val="24"/>
          <w:lang w:eastAsia="en-GB"/>
        </w:rPr>
        <w:t>eater coherence and accelerate</w:t>
      </w:r>
      <w:r w:rsidRPr="00C4041F">
        <w:rPr>
          <w:rFonts w:cs="Arial"/>
          <w:szCs w:val="24"/>
          <w:lang w:eastAsia="en-GB"/>
        </w:rPr>
        <w:t xml:space="preserve"> the rate of progress. She is also working to co-produce a Preparing for Adulthood Strategy</w:t>
      </w:r>
      <w:r>
        <w:rPr>
          <w:rFonts w:cs="Arial"/>
          <w:szCs w:val="24"/>
          <w:lang w:eastAsia="en-GB"/>
        </w:rPr>
        <w:t xml:space="preserve"> for the SEND Partnership Board.</w:t>
      </w:r>
    </w:p>
    <w:p w14:paraId="0D3CAD2B" w14:textId="77777777" w:rsidR="00A80297" w:rsidRPr="00440541" w:rsidRDefault="00922BB7" w:rsidP="00C17EA6">
      <w:pPr>
        <w:pStyle w:val="Rsub-heading"/>
      </w:pPr>
      <w:r w:rsidRPr="002E3B34">
        <w:t xml:space="preserve">Personal budgets for </w:t>
      </w:r>
      <w:r>
        <w:t xml:space="preserve">children's </w:t>
      </w:r>
      <w:r w:rsidRPr="002E3B34">
        <w:t>service users and direct payments to their car</w:t>
      </w:r>
      <w:r>
        <w:t>ers</w:t>
      </w:r>
      <w:r w:rsidRPr="0025792A">
        <w:tab/>
      </w:r>
      <w:r w:rsidRPr="003340C8">
        <w:rPr>
          <w:b w:val="0"/>
        </w:rPr>
        <w:t>(High risk)</w:t>
      </w:r>
    </w:p>
    <w:p w14:paraId="6BCBF301" w14:textId="77777777" w:rsidR="007A4D15" w:rsidRPr="007A4D15" w:rsidRDefault="00922BB7" w:rsidP="000E71CF">
      <w:pPr>
        <w:pStyle w:val="Rparagraph"/>
        <w:rPr>
          <w:rFonts w:cs="Times New Roman"/>
        </w:rPr>
      </w:pPr>
      <w:r w:rsidRPr="0025792A">
        <w:rPr>
          <w:rFonts w:cs="Times New Roman"/>
          <w:szCs w:val="24"/>
          <w:lang w:eastAsia="en-GB"/>
        </w:rPr>
        <w:t xml:space="preserve">In March 2018 it was agreed </w:t>
      </w:r>
      <w:r>
        <w:rPr>
          <w:rFonts w:cs="Times New Roman"/>
          <w:szCs w:val="24"/>
          <w:lang w:eastAsia="en-GB"/>
        </w:rPr>
        <w:t>that</w:t>
      </w:r>
      <w:r w:rsidRPr="0025792A">
        <w:rPr>
          <w:rFonts w:cs="Times New Roman"/>
          <w:szCs w:val="24"/>
          <w:lang w:eastAsia="en-GB"/>
        </w:rPr>
        <w:t xml:space="preserve"> Children's Services would liaise with Adult Services to ensure that their policies and procedures are aligned and </w:t>
      </w:r>
      <w:r w:rsidRPr="0025792A">
        <w:rPr>
          <w:rFonts w:cs="Times New Roman"/>
          <w:szCs w:val="24"/>
          <w:lang w:eastAsia="en-GB"/>
        </w:rPr>
        <w:lastRenderedPageBreak/>
        <w:t>communicated consistently. This would involve developing a single training programme to ensure consistency of service delivery across both services and a more effective use of training resources. As part of this process, guidance notes would be checked to ensure that they are factually correct</w:t>
      </w:r>
      <w:r>
        <w:rPr>
          <w:rFonts w:cs="Times New Roman"/>
          <w:szCs w:val="24"/>
          <w:lang w:eastAsia="en-GB"/>
        </w:rPr>
        <w:t>.</w:t>
      </w:r>
    </w:p>
    <w:p w14:paraId="0A3669E6" w14:textId="153E0F18" w:rsidR="002E3B34" w:rsidRPr="0025792A" w:rsidRDefault="00922BB7" w:rsidP="000E71CF">
      <w:pPr>
        <w:pStyle w:val="Rparagraph"/>
        <w:rPr>
          <w:rFonts w:cs="Times New Roman"/>
        </w:rPr>
      </w:pPr>
      <w:r>
        <w:rPr>
          <w:rFonts w:cs="Times New Roman"/>
          <w:szCs w:val="24"/>
          <w:lang w:eastAsia="en-GB"/>
        </w:rPr>
        <w:t>O</w:t>
      </w:r>
      <w:r w:rsidRPr="0025792A">
        <w:rPr>
          <w:rFonts w:cs="Times New Roman"/>
          <w:szCs w:val="24"/>
          <w:lang w:eastAsia="en-GB"/>
        </w:rPr>
        <w:t xml:space="preserve">nce agreed, policy, procedures and guidance </w:t>
      </w:r>
      <w:r>
        <w:rPr>
          <w:rFonts w:cs="Times New Roman"/>
          <w:szCs w:val="24"/>
          <w:lang w:eastAsia="en-GB"/>
        </w:rPr>
        <w:t xml:space="preserve">would </w:t>
      </w:r>
      <w:r w:rsidRPr="0025792A">
        <w:rPr>
          <w:rFonts w:cs="Times New Roman"/>
          <w:szCs w:val="24"/>
          <w:lang w:eastAsia="en-GB"/>
        </w:rPr>
        <w:t xml:space="preserve">be made easily accessible on </w:t>
      </w:r>
      <w:r w:rsidR="00E36DF6">
        <w:rPr>
          <w:rFonts w:cs="Times New Roman"/>
          <w:szCs w:val="24"/>
          <w:lang w:eastAsia="en-GB"/>
        </w:rPr>
        <w:t xml:space="preserve">the </w:t>
      </w:r>
      <w:r w:rsidR="00891FC0">
        <w:rPr>
          <w:rFonts w:cs="Times New Roman"/>
          <w:szCs w:val="24"/>
          <w:lang w:eastAsia="en-GB"/>
        </w:rPr>
        <w:t xml:space="preserve">pages of the intranet accessed by staff in </w:t>
      </w:r>
      <w:r w:rsidRPr="0025792A">
        <w:rPr>
          <w:rFonts w:cs="Times New Roman"/>
          <w:szCs w:val="24"/>
          <w:lang w:eastAsia="en-GB"/>
        </w:rPr>
        <w:t>Children's Services</w:t>
      </w:r>
      <w:r w:rsidR="00891FC0">
        <w:rPr>
          <w:rFonts w:cs="Times New Roman"/>
          <w:szCs w:val="24"/>
          <w:lang w:eastAsia="en-GB"/>
        </w:rPr>
        <w:t>,</w:t>
      </w:r>
      <w:r w:rsidRPr="0025792A">
        <w:rPr>
          <w:rFonts w:cs="Times New Roman"/>
          <w:szCs w:val="24"/>
          <w:lang w:eastAsia="en-GB"/>
        </w:rPr>
        <w:t xml:space="preserve"> </w:t>
      </w:r>
      <w:r w:rsidR="00E36DF6">
        <w:rPr>
          <w:rFonts w:cs="Times New Roman"/>
          <w:szCs w:val="24"/>
          <w:lang w:eastAsia="en-GB"/>
        </w:rPr>
        <w:t>who</w:t>
      </w:r>
      <w:r w:rsidRPr="0025792A">
        <w:rPr>
          <w:rFonts w:cs="Times New Roman"/>
          <w:szCs w:val="24"/>
          <w:lang w:eastAsia="en-GB"/>
        </w:rPr>
        <w:t xml:space="preserve"> </w:t>
      </w:r>
      <w:r>
        <w:rPr>
          <w:rFonts w:cs="Times New Roman"/>
          <w:szCs w:val="24"/>
          <w:lang w:eastAsia="en-GB"/>
        </w:rPr>
        <w:t xml:space="preserve">would </w:t>
      </w:r>
      <w:r w:rsidRPr="0025792A">
        <w:rPr>
          <w:rFonts w:cs="Times New Roman"/>
          <w:szCs w:val="24"/>
          <w:lang w:eastAsia="en-GB"/>
        </w:rPr>
        <w:t>be made aware of the revised guidance and the importance of complying with it</w:t>
      </w:r>
      <w:r w:rsidR="00BD36CF">
        <w:rPr>
          <w:rFonts w:cs="Times New Roman"/>
          <w:szCs w:val="24"/>
          <w:lang w:eastAsia="en-GB"/>
        </w:rPr>
        <w:t xml:space="preserve"> </w:t>
      </w:r>
      <w:r>
        <w:rPr>
          <w:rFonts w:cs="Times New Roman"/>
          <w:szCs w:val="24"/>
          <w:lang w:eastAsia="en-GB"/>
        </w:rPr>
        <w:t>(this was treated as a separate action to address a medium degree of risk).</w:t>
      </w:r>
    </w:p>
    <w:p w14:paraId="2422EFCC" w14:textId="21BC9C8F" w:rsidR="00E36DF6" w:rsidRPr="0024738E" w:rsidRDefault="00F65924" w:rsidP="00E36DF6">
      <w:pPr>
        <w:pStyle w:val="Rparagraph"/>
      </w:pPr>
      <w:r>
        <w:rPr>
          <w:rFonts w:cs="Arial"/>
          <w:szCs w:val="24"/>
        </w:rPr>
        <w:t>The SEND Improvement Plan includes work to review the personal budget policy, analyse take-up of personal budgets and determine the future approach in partnership with parent carers. This has begun and will be informed by discussion with the Parent Carer Forum on 18 October 2019: progress will be reported to the SEND Partnership Board at its next meeting on 16 November. Current patterns and trends in the use of direct payments are also being analysed and the outcomes will be reported to the Education and Skills management team in November</w:t>
      </w:r>
      <w:r w:rsidR="00E36DF6" w:rsidRPr="0024738E">
        <w:t>.</w:t>
      </w:r>
    </w:p>
    <w:p w14:paraId="64894BD5" w14:textId="4C6AF630" w:rsidR="0025792A" w:rsidRPr="0025792A" w:rsidRDefault="00922BB7" w:rsidP="000E71CF">
      <w:pPr>
        <w:pStyle w:val="Rparagraph"/>
        <w:rPr>
          <w:rFonts w:cs="Times New Roman"/>
        </w:rPr>
      </w:pPr>
      <w:r>
        <w:rPr>
          <w:rFonts w:cs="Times New Roman"/>
          <w:szCs w:val="24"/>
          <w:lang w:eastAsia="en-GB"/>
        </w:rPr>
        <w:t xml:space="preserve">We have </w:t>
      </w:r>
      <w:r w:rsidR="00E36DF6">
        <w:rPr>
          <w:rFonts w:cs="Times New Roman"/>
          <w:szCs w:val="24"/>
          <w:lang w:eastAsia="en-GB"/>
        </w:rPr>
        <w:t xml:space="preserve">also </w:t>
      </w:r>
      <w:r>
        <w:rPr>
          <w:rFonts w:cs="Times New Roman"/>
          <w:szCs w:val="24"/>
          <w:lang w:eastAsia="en-GB"/>
        </w:rPr>
        <w:t>done further compliance testing in the current year and are discussing a draft report with the managers involved.</w:t>
      </w:r>
    </w:p>
    <w:p w14:paraId="022F1BD3" w14:textId="77777777" w:rsidR="002E3B34" w:rsidRPr="001A118A" w:rsidRDefault="00922BB7" w:rsidP="00C17EA6">
      <w:pPr>
        <w:pStyle w:val="Rsub-heading"/>
      </w:pPr>
      <w:r>
        <w:t xml:space="preserve">Case management of occupational therapy services </w:t>
      </w:r>
      <w:r w:rsidRPr="001A118A">
        <w:tab/>
      </w:r>
      <w:r w:rsidRPr="003340C8">
        <w:rPr>
          <w:b w:val="0"/>
        </w:rPr>
        <w:t>(Medium risk)</w:t>
      </w:r>
    </w:p>
    <w:p w14:paraId="644B2147" w14:textId="3E04F8BB" w:rsidR="00C86F0C" w:rsidRPr="00D71995" w:rsidRDefault="00922BB7" w:rsidP="001D745A">
      <w:pPr>
        <w:pStyle w:val="Rparagraph"/>
        <w:spacing w:after="160" w:line="259" w:lineRule="auto"/>
        <w:rPr>
          <w:b/>
        </w:rPr>
      </w:pPr>
      <w:r w:rsidRPr="00D71995">
        <w:rPr>
          <w:rFonts w:cs="Arial"/>
        </w:rPr>
        <w:t>The only action remaining in relation to occupational therapy is to implement a case-load tracker within LAS, rather than using a set of spreadsheets. However it is unlikely that this improvement will be achieved in the foreseeable future.</w:t>
      </w:r>
    </w:p>
    <w:p w14:paraId="31488068" w14:textId="77777777" w:rsidR="007A4D15" w:rsidRPr="003340C8" w:rsidRDefault="00922BB7" w:rsidP="00C17EA6">
      <w:pPr>
        <w:pStyle w:val="Rsub-heading"/>
        <w:rPr>
          <w:b w:val="0"/>
        </w:rPr>
      </w:pPr>
      <w:r>
        <w:t xml:space="preserve">Public health commissioning strategy </w:t>
      </w:r>
      <w:r w:rsidRPr="003340C8">
        <w:rPr>
          <w:b w:val="0"/>
        </w:rPr>
        <w:tab/>
        <w:t>(Medium risk)</w:t>
      </w:r>
    </w:p>
    <w:p w14:paraId="4572D791" w14:textId="312107CF" w:rsidR="007A4D15" w:rsidRDefault="00922BB7" w:rsidP="00440541">
      <w:pPr>
        <w:pStyle w:val="Rparagraph"/>
      </w:pPr>
      <w:r>
        <w:t>It was agreed that a</w:t>
      </w:r>
      <w:r w:rsidRPr="007A4D15">
        <w:t xml:space="preserve"> strategy </w:t>
      </w:r>
      <w:r>
        <w:t xml:space="preserve">would </w:t>
      </w:r>
      <w:r w:rsidRPr="007A4D15">
        <w:t xml:space="preserve">be developed </w:t>
      </w:r>
      <w:r>
        <w:t xml:space="preserve">to demonstrate a comprehensive evaluation of the needs and priority for the discretionary services </w:t>
      </w:r>
      <w:r w:rsidRPr="007A4D15">
        <w:t xml:space="preserve">most required </w:t>
      </w:r>
      <w:r>
        <w:t xml:space="preserve">to improve the health of </w:t>
      </w:r>
      <w:r w:rsidRPr="007A4D15">
        <w:t>the local population</w:t>
      </w:r>
      <w:r>
        <w:t xml:space="preserve">, and to allocate funds most effectively to these services. </w:t>
      </w:r>
      <w:r w:rsidR="00E36DF6">
        <w:t>This will now be completed by the end of February 2020.</w:t>
      </w:r>
    </w:p>
    <w:p w14:paraId="61C4C1F2" w14:textId="77777777" w:rsidR="001A118A" w:rsidRDefault="00922BB7" w:rsidP="00C17EA6">
      <w:pPr>
        <w:pStyle w:val="Rsub-heading"/>
      </w:pPr>
      <w:r>
        <w:t>Commissioning, design and monitoring of the capital programme</w:t>
      </w:r>
    </w:p>
    <w:p w14:paraId="54514CCF" w14:textId="77777777" w:rsidR="004E06C2" w:rsidRPr="001A118A" w:rsidRDefault="00922BB7" w:rsidP="001A118A">
      <w:pPr>
        <w:tabs>
          <w:tab w:val="right" w:pos="9026"/>
        </w:tabs>
        <w:spacing w:after="120" w:line="240" w:lineRule="auto"/>
        <w:rPr>
          <w:rFonts w:ascii="Arial" w:hAnsi="Arial" w:cs="Arial"/>
          <w:sz w:val="24"/>
          <w:szCs w:val="24"/>
        </w:rPr>
      </w:pPr>
      <w:r w:rsidRPr="001A118A">
        <w:rPr>
          <w:rFonts w:ascii="Arial" w:hAnsi="Arial" w:cs="Arial"/>
          <w:sz w:val="24"/>
          <w:szCs w:val="24"/>
        </w:rPr>
        <w:tab/>
        <w:t>(Medium risk)</w:t>
      </w:r>
    </w:p>
    <w:p w14:paraId="4DFC909E" w14:textId="77777777" w:rsidR="004E06C2" w:rsidRDefault="00922BB7" w:rsidP="004E06C2">
      <w:pPr>
        <w:pStyle w:val="Rparagraph"/>
      </w:pPr>
      <w:r>
        <w:t>A lot of work has been undertaken on the asset management strategy that will underpin both the capital strategy and the development of a risk register for the capital programme. Having gained a more comprehensive understanding of the risks involved in the capital programme and the mitigating controls in place, senior finance managers will now finalise the risk register within the next three months.</w:t>
      </w:r>
    </w:p>
    <w:p w14:paraId="6D44DB0E" w14:textId="77777777" w:rsidR="00435720" w:rsidRDefault="00922BB7" w:rsidP="00435720">
      <w:pPr>
        <w:pStyle w:val="Rheading"/>
      </w:pPr>
      <w:r>
        <w:t>Audit work completed on service delivery controls: Adult Services and Health &amp; Wellbeing</w:t>
      </w:r>
    </w:p>
    <w:p w14:paraId="0594AA3E"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Provider-led reviews</w:t>
      </w:r>
      <w:r w:rsidRPr="00982FDB">
        <w:rPr>
          <w:rFonts w:ascii="Arial" w:hAnsi="Arial" w:cs="Arial"/>
          <w:b/>
          <w:sz w:val="24"/>
          <w:szCs w:val="24"/>
          <w:lang w:eastAsia="en-GB"/>
        </w:rPr>
        <w:t xml:space="preserve"> </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1</w:t>
      </w:r>
      <w:r w:rsidRPr="00D3378B">
        <w:rPr>
          <w:rFonts w:ascii="Arial" w:hAnsi="Arial" w:cs="Arial"/>
          <w:sz w:val="24"/>
          <w:szCs w:val="24"/>
          <w:lang w:eastAsia="en-GB"/>
        </w:rPr>
        <w:t>)</w:t>
      </w:r>
    </w:p>
    <w:p w14:paraId="3353AD45" w14:textId="57D83969" w:rsidR="005245D1" w:rsidRPr="00E458FF" w:rsidRDefault="00922BB7" w:rsidP="005245D1">
      <w:pPr>
        <w:pStyle w:val="Rparagraph"/>
      </w:pPr>
      <w:r w:rsidRPr="00E458FF">
        <w:t xml:space="preserve">The council has a legal duty to offer a free carer's assessment if it appears that a carer may need support. </w:t>
      </w:r>
      <w:r w:rsidR="00271D5B" w:rsidRPr="00E458FF">
        <w:t>N</w:t>
      </w:r>
      <w:r w:rsidR="00271D5B">
        <w:t>-c</w:t>
      </w:r>
      <w:r w:rsidRPr="00E458FF">
        <w:t xml:space="preserve">ompass North West and Carers Link Lancashire </w:t>
      </w:r>
      <w:r w:rsidR="00D5304C">
        <w:t>have been selected</w:t>
      </w:r>
      <w:r w:rsidRPr="00E458FF">
        <w:t xml:space="preserve"> to carry out statutory carers' assessments on </w:t>
      </w:r>
      <w:r w:rsidR="00D5304C">
        <w:t>our</w:t>
      </w:r>
      <w:r w:rsidR="00D5304C" w:rsidRPr="00E458FF">
        <w:t xml:space="preserve"> </w:t>
      </w:r>
      <w:r w:rsidRPr="00E458FF">
        <w:t>behalf and to provide support to adult carers.</w:t>
      </w:r>
    </w:p>
    <w:p w14:paraId="2C2AF201" w14:textId="77777777" w:rsidR="005245D1" w:rsidRPr="00E458FF" w:rsidRDefault="00922BB7" w:rsidP="005245D1">
      <w:pPr>
        <w:pStyle w:val="Rparagraph"/>
      </w:pPr>
      <w:r w:rsidRPr="00E458FF">
        <w:lastRenderedPageBreak/>
        <w:t>Practice guidance for assessors is bein</w:t>
      </w:r>
      <w:r>
        <w:t>g finalised and, once agreed,</w:t>
      </w:r>
      <w:r w:rsidRPr="00E458FF">
        <w:t xml:space="preserve"> will be posted on the intranet with other relevant policies, procedures and guidance for social workers. Comprehensive templates for performance management and quality assessment have been developed.</w:t>
      </w:r>
    </w:p>
    <w:p w14:paraId="0692E436" w14:textId="77777777" w:rsidR="005245D1" w:rsidRPr="00982FDB" w:rsidRDefault="00922BB7" w:rsidP="005245D1">
      <w:pPr>
        <w:pStyle w:val="Rparagraph"/>
      </w:pPr>
      <w:r w:rsidRPr="00E458FF">
        <w:t>A control framework has been designed but is not yet in operation</w:t>
      </w:r>
      <w:r>
        <w:t xml:space="preserve">. </w:t>
      </w:r>
      <w:r w:rsidRPr="00E458FF">
        <w:t>The contract monitoring arrangements' effectiveness in operation will largely depend on the quality of the routines employed to validate and verify the data that will be supplied by the providers.</w:t>
      </w:r>
    </w:p>
    <w:p w14:paraId="4C49A8E8"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Direct payments: adults' financial reviews</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14:paraId="40E1BC73" w14:textId="77777777" w:rsidR="005245D1" w:rsidRPr="00FC6482" w:rsidRDefault="00922BB7" w:rsidP="005245D1">
      <w:pPr>
        <w:pStyle w:val="Rparagraph"/>
        <w:rPr>
          <w:rFonts w:cs="Arial"/>
        </w:rPr>
      </w:pPr>
      <w:r w:rsidRPr="00FC6482">
        <w:rPr>
          <w:rFonts w:cs="Arial"/>
        </w:rPr>
        <w:t>Direct payments are one of the ways individuals can choose to receive their personal social care budget and use it to meet their assessed eligible care needs. Some of the direct payment can be used by service users to employ a personal assistant or to pay someone to manage their responsibilities as an employer. The person receiving and/ or managing a direct payment is responsible for keeping records to show how money has been spent and ensuring money is spent as agreed in the support plan.</w:t>
      </w:r>
    </w:p>
    <w:p w14:paraId="2F075E65" w14:textId="77777777" w:rsidR="005245D1" w:rsidRPr="00FC6482" w:rsidRDefault="00922BB7" w:rsidP="005245D1">
      <w:pPr>
        <w:pStyle w:val="Rparagraph"/>
        <w:rPr>
          <w:rFonts w:cs="Arial"/>
        </w:rPr>
      </w:pPr>
      <w:r w:rsidRPr="00FC6482">
        <w:rPr>
          <w:rFonts w:cs="Arial"/>
        </w:rPr>
        <w:t>Around 4,100 service users – 3,700 adults and 400 children – receive direct payments totalling approximately £4.8 million per month or £57.6 million per year.</w:t>
      </w:r>
    </w:p>
    <w:p w14:paraId="63C3898C" w14:textId="45B4AF7B" w:rsidR="00AE4240" w:rsidRPr="00AE4240" w:rsidRDefault="00922BB7" w:rsidP="00A9752E">
      <w:pPr>
        <w:pStyle w:val="Rparagraph"/>
        <w:autoSpaceDE w:val="0"/>
        <w:autoSpaceDN w:val="0"/>
        <w:adjustRightInd w:val="0"/>
        <w:rPr>
          <w:rFonts w:cs="Arial"/>
        </w:rPr>
      </w:pPr>
      <w:r w:rsidRPr="00AE4240">
        <w:rPr>
          <w:rFonts w:cs="Arial"/>
        </w:rPr>
        <w:t>Financial assessment officers in the Finance Directorate follow robust procedures supported by process checklists, policies and guidance, and are comprehensively trained although other than normal supervision processes there is no formal quality assurance of the reviews.</w:t>
      </w:r>
      <w:r w:rsidR="00AE4240" w:rsidRPr="00AE4240">
        <w:rPr>
          <w:rFonts w:cs="Arial"/>
        </w:rPr>
        <w:t xml:space="preserve"> It has been agreed that </w:t>
      </w:r>
      <w:r w:rsidR="00AE4240">
        <w:rPr>
          <w:rFonts w:cs="Arial"/>
        </w:rPr>
        <w:t>t</w:t>
      </w:r>
      <w:r w:rsidR="00AE4240" w:rsidRPr="00AE4240">
        <w:rPr>
          <w:rFonts w:cs="Arial"/>
        </w:rPr>
        <w:t xml:space="preserve">eam </w:t>
      </w:r>
      <w:r w:rsidR="00AE4240">
        <w:rPr>
          <w:rFonts w:cs="Arial"/>
        </w:rPr>
        <w:t>l</w:t>
      </w:r>
      <w:r w:rsidR="00AE4240" w:rsidRPr="00AE4240">
        <w:rPr>
          <w:rFonts w:cs="Arial"/>
        </w:rPr>
        <w:t>eaders will periodically undertake dip-sampling of completed reviews to as</w:t>
      </w:r>
      <w:r w:rsidR="00AE4240">
        <w:rPr>
          <w:rFonts w:cs="Arial"/>
        </w:rPr>
        <w:t xml:space="preserve">sess the </w:t>
      </w:r>
      <w:r w:rsidR="00AE4240" w:rsidRPr="00AE4240">
        <w:rPr>
          <w:rFonts w:cs="Arial"/>
        </w:rPr>
        <w:t xml:space="preserve">quality of </w:t>
      </w:r>
      <w:r w:rsidR="00AE4240">
        <w:rPr>
          <w:rFonts w:cs="Arial"/>
        </w:rPr>
        <w:t xml:space="preserve">the </w:t>
      </w:r>
      <w:r w:rsidR="00AE4240" w:rsidRPr="00AE4240">
        <w:rPr>
          <w:rFonts w:cs="Arial"/>
        </w:rPr>
        <w:t>information recorded</w:t>
      </w:r>
      <w:r w:rsidR="00AE4240">
        <w:rPr>
          <w:rFonts w:cs="Arial"/>
        </w:rPr>
        <w:t xml:space="preserve"> and of the </w:t>
      </w:r>
      <w:r w:rsidR="00AE4240" w:rsidRPr="00AE4240">
        <w:rPr>
          <w:rFonts w:cs="Arial"/>
        </w:rPr>
        <w:t>judgement regarding level of review</w:t>
      </w:r>
      <w:r w:rsidR="00AE4240">
        <w:rPr>
          <w:rFonts w:cs="Arial"/>
        </w:rPr>
        <w:t>,</w:t>
      </w:r>
      <w:r w:rsidR="00AE4240" w:rsidRPr="00AE4240">
        <w:rPr>
          <w:rFonts w:cs="Arial"/>
        </w:rPr>
        <w:t xml:space="preserve"> and</w:t>
      </w:r>
      <w:r w:rsidR="00AE4240">
        <w:rPr>
          <w:rFonts w:cs="Arial"/>
        </w:rPr>
        <w:t xml:space="preserve"> </w:t>
      </w:r>
      <w:r w:rsidR="00AE4240" w:rsidRPr="00AE4240">
        <w:rPr>
          <w:rFonts w:cs="Arial"/>
        </w:rPr>
        <w:t xml:space="preserve">to identify any issues or training requirements. </w:t>
      </w:r>
    </w:p>
    <w:p w14:paraId="1AC00EA2" w14:textId="77777777" w:rsidR="005245D1" w:rsidRPr="00FC6482" w:rsidRDefault="00922BB7" w:rsidP="005245D1">
      <w:pPr>
        <w:pStyle w:val="Rparagraph"/>
        <w:rPr>
          <w:rFonts w:cs="Arial"/>
        </w:rPr>
      </w:pPr>
      <w:r w:rsidRPr="00FC6482">
        <w:rPr>
          <w:rFonts w:cs="Arial"/>
        </w:rPr>
        <w:t>Direct payment agreements are scheduled for review in accordance with their assessed risk. Although there will always be a number of reviews outstanding at any point, the backlogs that had built up are now being addressed and review schedules are monitored and managed. Where reviews are significantly overdue this is generally beyond the control of the financial review team.</w:t>
      </w:r>
    </w:p>
    <w:p w14:paraId="4D6861E0" w14:textId="1D591954" w:rsidR="001D18E0" w:rsidRPr="001D18E0" w:rsidRDefault="00922BB7" w:rsidP="005245D1">
      <w:pPr>
        <w:pStyle w:val="Rparagraph"/>
        <w:rPr>
          <w:rFonts w:cs="Arial"/>
        </w:rPr>
      </w:pPr>
      <w:r w:rsidRPr="00FC6482">
        <w:rPr>
          <w:rFonts w:cs="Arial"/>
        </w:rPr>
        <w:t xml:space="preserve">The primary record of details relating to the direct payment reviews is held on </w:t>
      </w:r>
      <w:r w:rsidR="001C1483">
        <w:rPr>
          <w:rFonts w:cs="Arial"/>
          <w:color w:val="000000"/>
        </w:rPr>
        <w:t xml:space="preserve">the finance software for </w:t>
      </w:r>
      <w:r w:rsidR="001C1483" w:rsidRPr="00726D79">
        <w:rPr>
          <w:rFonts w:cs="Arial"/>
          <w:color w:val="000000"/>
        </w:rPr>
        <w:t>adult</w:t>
      </w:r>
      <w:r w:rsidR="001C1483">
        <w:rPr>
          <w:rFonts w:cs="Arial"/>
          <w:color w:val="000000"/>
        </w:rPr>
        <w:t xml:space="preserve"> </w:t>
      </w:r>
      <w:r w:rsidR="001C1483" w:rsidRPr="00726D79">
        <w:rPr>
          <w:rFonts w:cs="Arial"/>
          <w:color w:val="000000"/>
        </w:rPr>
        <w:t>social care</w:t>
      </w:r>
      <w:r w:rsidR="001C1483">
        <w:rPr>
          <w:rFonts w:cs="Arial"/>
          <w:color w:val="000000"/>
        </w:rPr>
        <w:t xml:space="preserve"> (</w:t>
      </w:r>
      <w:proofErr w:type="spellStart"/>
      <w:r w:rsidRPr="00FC6482">
        <w:rPr>
          <w:rFonts w:cs="Arial"/>
        </w:rPr>
        <w:t>ContrOCC</w:t>
      </w:r>
      <w:proofErr w:type="spellEnd"/>
      <w:r w:rsidR="001C1483">
        <w:rPr>
          <w:rFonts w:cs="Arial"/>
        </w:rPr>
        <w:t>)</w:t>
      </w:r>
      <w:r w:rsidRPr="00FC6482">
        <w:rPr>
          <w:rFonts w:cs="Arial"/>
        </w:rPr>
        <w:t xml:space="preserve">. Where it is clear to the financial assessment officers that social </w:t>
      </w:r>
      <w:r w:rsidRPr="001D18E0">
        <w:rPr>
          <w:rFonts w:cs="Arial"/>
        </w:rPr>
        <w:t>workers should be aware of any information relating to the reviews they also record this on</w:t>
      </w:r>
      <w:r w:rsidR="001D18E0" w:rsidRPr="001D18E0">
        <w:rPr>
          <w:rFonts w:cs="Arial"/>
        </w:rPr>
        <w:t xml:space="preserve"> </w:t>
      </w:r>
      <w:proofErr w:type="spellStart"/>
      <w:r w:rsidR="001D18E0" w:rsidRPr="001D18E0">
        <w:t>Liquidlogic</w:t>
      </w:r>
      <w:proofErr w:type="spellEnd"/>
      <w:r w:rsidR="001D18E0" w:rsidRPr="001D18E0">
        <w:t xml:space="preserve"> Adults System (LAS) or </w:t>
      </w:r>
      <w:proofErr w:type="spellStart"/>
      <w:r w:rsidR="001D18E0" w:rsidRPr="001D18E0">
        <w:t>Liquidlogic</w:t>
      </w:r>
      <w:proofErr w:type="spellEnd"/>
      <w:r w:rsidR="001D18E0" w:rsidRPr="001D18E0">
        <w:t xml:space="preserve"> Children's System (LCS).</w:t>
      </w:r>
    </w:p>
    <w:p w14:paraId="335D65D3" w14:textId="77777777" w:rsidR="005245D1" w:rsidRPr="00FC6482" w:rsidRDefault="00922BB7" w:rsidP="005245D1">
      <w:pPr>
        <w:pStyle w:val="Rparagraph"/>
        <w:rPr>
          <w:rFonts w:cs="Arial"/>
        </w:rPr>
      </w:pPr>
      <w:r w:rsidRPr="00FC6482">
        <w:rPr>
          <w:rFonts w:cs="Arial"/>
        </w:rPr>
        <w:t>A finance team leader attends the monthly Direct Payments Forum which is led by operational managers and also attended by operational and commissioning staff. It addresses any issues relating to direct payments including training, case anomalies and complaints.</w:t>
      </w:r>
    </w:p>
    <w:p w14:paraId="21181F4E"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Policy development</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w:t>
      </w:r>
      <w:r w:rsidRPr="00126B61">
        <w:rPr>
          <w:rFonts w:ascii="Arial" w:hAnsi="Arial" w:cs="Arial"/>
          <w:sz w:val="24"/>
          <w:szCs w:val="24"/>
          <w:lang w:eastAsia="en-GB"/>
        </w:rPr>
        <w:t>)</w:t>
      </w:r>
    </w:p>
    <w:p w14:paraId="3575AA09" w14:textId="77777777" w:rsidR="005245D1" w:rsidRPr="00FC6482" w:rsidRDefault="00922BB7" w:rsidP="005245D1">
      <w:pPr>
        <w:pStyle w:val="Rparagraph"/>
        <w:rPr>
          <w:rFonts w:cs="Arial"/>
        </w:rPr>
      </w:pPr>
      <w:r w:rsidRPr="00FC6482">
        <w:rPr>
          <w:rFonts w:cs="Arial"/>
        </w:rPr>
        <w:t xml:space="preserve">Following the introduction of the Care Act in 2014 the Policy, Information and Commissioning team has reviewed and updated the council's policies relating to adult social care. There is some good practice in current policy development and a good basis to establish a more robust and structured framework going forward. This includes oversight of policy development by a group involving </w:t>
      </w:r>
      <w:r w:rsidRPr="00FC6482">
        <w:rPr>
          <w:rFonts w:cs="Arial"/>
        </w:rPr>
        <w:lastRenderedPageBreak/>
        <w:t>finance, operations and legal staff as well as social care professionals, and the involvement of officers from the Policy, Information and Commissioning team who ensure that policy documents remain consistent with legislative requirements.</w:t>
      </w:r>
    </w:p>
    <w:p w14:paraId="7E08E5AB" w14:textId="77777777" w:rsidR="005245D1" w:rsidRPr="00FC6482" w:rsidRDefault="00922BB7" w:rsidP="005245D1">
      <w:pPr>
        <w:pStyle w:val="Rparagraph"/>
        <w:rPr>
          <w:rFonts w:cs="Arial"/>
        </w:rPr>
      </w:pPr>
      <w:r w:rsidRPr="009013E6">
        <w:rPr>
          <w:rFonts w:cs="Arial"/>
        </w:rPr>
        <w:t xml:space="preserve">Mechanisms are in place to identify changes to legislation that might affect policy, and efforts are being made to build professional links with other teams around the council to ensure a consistent approach is adopted. </w:t>
      </w:r>
      <w:r>
        <w:rPr>
          <w:rFonts w:cs="Arial"/>
        </w:rPr>
        <w:t>The format and content of p</w:t>
      </w:r>
      <w:r w:rsidRPr="009013E6">
        <w:rPr>
          <w:rFonts w:cs="Arial"/>
        </w:rPr>
        <w:t>olicy documents a</w:t>
      </w:r>
      <w:r>
        <w:rPr>
          <w:rFonts w:cs="Arial"/>
        </w:rPr>
        <w:t>re</w:t>
      </w:r>
      <w:r w:rsidRPr="009013E6">
        <w:rPr>
          <w:rFonts w:cs="Arial"/>
        </w:rPr>
        <w:t xml:space="preserve"> </w:t>
      </w:r>
      <w:r>
        <w:rPr>
          <w:rFonts w:cs="Arial"/>
        </w:rPr>
        <w:t xml:space="preserve">being </w:t>
      </w:r>
      <w:r w:rsidRPr="009013E6">
        <w:rPr>
          <w:rFonts w:cs="Arial"/>
        </w:rPr>
        <w:t xml:space="preserve">standardised </w:t>
      </w:r>
      <w:r>
        <w:rPr>
          <w:rFonts w:cs="Arial"/>
        </w:rPr>
        <w:t>where possible</w:t>
      </w:r>
      <w:r w:rsidRPr="009013E6">
        <w:rPr>
          <w:rFonts w:cs="Arial"/>
        </w:rPr>
        <w:t xml:space="preserve">, and </w:t>
      </w:r>
      <w:r>
        <w:rPr>
          <w:rFonts w:cs="Arial"/>
        </w:rPr>
        <w:t xml:space="preserve">they </w:t>
      </w:r>
      <w:r w:rsidRPr="009013E6">
        <w:rPr>
          <w:rFonts w:cs="Arial"/>
        </w:rPr>
        <w:t xml:space="preserve">are </w:t>
      </w:r>
      <w:r>
        <w:rPr>
          <w:rFonts w:cs="Arial"/>
        </w:rPr>
        <w:t>drafted to be easily read and understood.</w:t>
      </w:r>
    </w:p>
    <w:p w14:paraId="365FDF7C" w14:textId="77777777" w:rsidR="005245D1" w:rsidRPr="00FC6482" w:rsidRDefault="00922BB7" w:rsidP="005245D1">
      <w:pPr>
        <w:pStyle w:val="Rparagraph"/>
        <w:rPr>
          <w:rFonts w:cs="Arial"/>
        </w:rPr>
      </w:pPr>
      <w:r w:rsidRPr="00F830B1">
        <w:rPr>
          <w:rFonts w:cs="Arial"/>
        </w:rPr>
        <w:t>However</w:t>
      </w:r>
      <w:r>
        <w:rPr>
          <w:rFonts w:cs="Arial"/>
        </w:rPr>
        <w:t xml:space="preserve"> action will also now be taken to rationalise the pages on the intranet</w:t>
      </w:r>
      <w:r w:rsidRPr="00F830B1">
        <w:rPr>
          <w:rFonts w:cs="Arial"/>
        </w:rPr>
        <w:t xml:space="preserve"> </w:t>
      </w:r>
      <w:r>
        <w:rPr>
          <w:rFonts w:cs="Arial"/>
        </w:rPr>
        <w:t xml:space="preserve">addressing adult social care policies, and to develop </w:t>
      </w:r>
      <w:r w:rsidRPr="000D3C0F">
        <w:rPr>
          <w:rFonts w:cs="Arial"/>
        </w:rPr>
        <w:t xml:space="preserve">an overarching policy development strategy that clarifies what a policy document </w:t>
      </w:r>
      <w:r>
        <w:rPr>
          <w:rFonts w:cs="Arial"/>
        </w:rPr>
        <w:t xml:space="preserve">should be </w:t>
      </w:r>
      <w:r w:rsidRPr="000D3C0F">
        <w:rPr>
          <w:rFonts w:cs="Arial"/>
        </w:rPr>
        <w:t xml:space="preserve">and how </w:t>
      </w:r>
      <w:r>
        <w:rPr>
          <w:rFonts w:cs="Arial"/>
        </w:rPr>
        <w:t xml:space="preserve">they </w:t>
      </w:r>
      <w:r w:rsidRPr="000D3C0F">
        <w:rPr>
          <w:rFonts w:cs="Arial"/>
        </w:rPr>
        <w:t xml:space="preserve">are </w:t>
      </w:r>
      <w:r>
        <w:rPr>
          <w:rFonts w:cs="Arial"/>
        </w:rPr>
        <w:t xml:space="preserve">quality assured and </w:t>
      </w:r>
      <w:r w:rsidRPr="000D3C0F">
        <w:rPr>
          <w:rFonts w:cs="Arial"/>
        </w:rPr>
        <w:t>maintained.</w:t>
      </w:r>
    </w:p>
    <w:p w14:paraId="170D7662"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Educational off-site visits</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14:paraId="7A835B60" w14:textId="77777777" w:rsidR="005245D1" w:rsidRPr="00FC6482" w:rsidRDefault="00922BB7" w:rsidP="005245D1">
      <w:pPr>
        <w:pStyle w:val="Rparagraph"/>
        <w:rPr>
          <w:rFonts w:cs="Arial"/>
        </w:rPr>
      </w:pPr>
      <w:r>
        <w:rPr>
          <w:rFonts w:cs="Arial"/>
        </w:rPr>
        <w:t xml:space="preserve">The Educational Off-Site Visit team is part of the Health, Safety &amp; Resilience Service. It </w:t>
      </w:r>
      <w:r w:rsidRPr="0077216A">
        <w:rPr>
          <w:rFonts w:cs="Arial"/>
        </w:rPr>
        <w:t>ensure</w:t>
      </w:r>
      <w:r>
        <w:rPr>
          <w:rFonts w:cs="Arial"/>
        </w:rPr>
        <w:t>s</w:t>
      </w:r>
      <w:r w:rsidRPr="0077216A">
        <w:rPr>
          <w:rFonts w:cs="Arial"/>
        </w:rPr>
        <w:t xml:space="preserve"> that </w:t>
      </w:r>
      <w:r>
        <w:rPr>
          <w:rFonts w:cs="Arial"/>
        </w:rPr>
        <w:t>e</w:t>
      </w:r>
      <w:r w:rsidRPr="0077216A">
        <w:rPr>
          <w:rFonts w:cs="Arial"/>
        </w:rPr>
        <w:t>ducational off</w:t>
      </w:r>
      <w:r>
        <w:rPr>
          <w:rFonts w:cs="Arial"/>
        </w:rPr>
        <w:t>-s</w:t>
      </w:r>
      <w:r w:rsidRPr="0077216A">
        <w:rPr>
          <w:rFonts w:cs="Arial"/>
        </w:rPr>
        <w:t xml:space="preserve">ite </w:t>
      </w:r>
      <w:r>
        <w:rPr>
          <w:rFonts w:cs="Arial"/>
        </w:rPr>
        <w:t>visits are risk-</w:t>
      </w:r>
      <w:r w:rsidRPr="0077216A">
        <w:rPr>
          <w:rFonts w:cs="Arial"/>
        </w:rPr>
        <w:t xml:space="preserve">assessed, planned, approved, carried out and evaluated in accordance with statutory requirements and </w:t>
      </w:r>
      <w:r>
        <w:rPr>
          <w:rFonts w:cs="Arial"/>
        </w:rPr>
        <w:t xml:space="preserve">the council's </w:t>
      </w:r>
      <w:r w:rsidRPr="0077216A">
        <w:rPr>
          <w:rFonts w:cs="Arial"/>
        </w:rPr>
        <w:t>policy</w:t>
      </w:r>
      <w:r>
        <w:rPr>
          <w:rFonts w:cs="Arial"/>
        </w:rPr>
        <w:t>.</w:t>
      </w:r>
    </w:p>
    <w:p w14:paraId="1C55608C" w14:textId="227B32F9" w:rsidR="005245D1" w:rsidRDefault="00922BB7" w:rsidP="005245D1">
      <w:pPr>
        <w:pStyle w:val="Rparagraph"/>
        <w:rPr>
          <w:rFonts w:cs="Arial"/>
        </w:rPr>
      </w:pPr>
      <w:r w:rsidRPr="00370666">
        <w:rPr>
          <w:rFonts w:cs="Arial"/>
        </w:rPr>
        <w:t>The systems in place are well designed and continual</w:t>
      </w:r>
      <w:r>
        <w:rPr>
          <w:rFonts w:cs="Arial"/>
        </w:rPr>
        <w:t>ly</w:t>
      </w:r>
      <w:r w:rsidRPr="00370666">
        <w:rPr>
          <w:rFonts w:cs="Arial"/>
        </w:rPr>
        <w:t xml:space="preserve"> review</w:t>
      </w:r>
      <w:r>
        <w:rPr>
          <w:rFonts w:cs="Arial"/>
        </w:rPr>
        <w:t>ed</w:t>
      </w:r>
      <w:r w:rsidRPr="00370666">
        <w:rPr>
          <w:rFonts w:cs="Arial"/>
        </w:rPr>
        <w:t xml:space="preserve"> by the team and an advisory board: the actions arising from this audit are largely enhancements, aimed at improving the quality of management information. Although the team has numerous tasks to prioritise, sometimes with conflicting deadlines, its members are all clear about their individual priorities and manage them well. </w:t>
      </w:r>
      <w:r>
        <w:rPr>
          <w:rFonts w:cs="Arial"/>
        </w:rPr>
        <w:t xml:space="preserve">There are </w:t>
      </w:r>
      <w:r w:rsidRPr="00370666">
        <w:rPr>
          <w:rFonts w:cs="Arial"/>
        </w:rPr>
        <w:t>several areas of good practice including a comprehensive training programme, a system that supports effective monitoring and control as well as a helpful reporting and information tool, and good dissemination of lessons learned.</w:t>
      </w:r>
    </w:p>
    <w:p w14:paraId="6FE56AAD" w14:textId="23BAF856" w:rsidR="00A60E56" w:rsidRDefault="004E6EA4" w:rsidP="00873785">
      <w:pPr>
        <w:pStyle w:val="Rparagraph"/>
      </w:pPr>
      <w:r>
        <w:t>W</w:t>
      </w:r>
      <w:r w:rsidR="00A60E56">
        <w:t xml:space="preserve">here visits </w:t>
      </w:r>
      <w:r>
        <w:t xml:space="preserve">have not been </w:t>
      </w:r>
      <w:r w:rsidR="00A60E56">
        <w:t xml:space="preserve">recorded on the system </w:t>
      </w:r>
      <w:r>
        <w:t xml:space="preserve">by schools </w:t>
      </w:r>
      <w:r w:rsidR="00A60E56">
        <w:t xml:space="preserve">they cannot be subjected to the same dip sampling, compliance checks or monitoring. There is therefore a risk that some visits are incorrectly classified </w:t>
      </w:r>
      <w:r>
        <w:t xml:space="preserve">by schools </w:t>
      </w:r>
      <w:r w:rsidR="00A60E56">
        <w:t xml:space="preserve">and that the council does not have a complete picture of all the visits being carried out or an accurate number of incidents, accidents or near misses that may have occurred on these. </w:t>
      </w:r>
    </w:p>
    <w:p w14:paraId="12659947" w14:textId="77777777" w:rsidR="005245D1" w:rsidRPr="00FC6482" w:rsidRDefault="00922BB7" w:rsidP="005245D1">
      <w:pPr>
        <w:pStyle w:val="Rparagraph"/>
        <w:rPr>
          <w:rFonts w:cs="Arial"/>
        </w:rPr>
      </w:pPr>
      <w:r w:rsidRPr="00370666">
        <w:rPr>
          <w:rFonts w:cs="Arial"/>
        </w:rPr>
        <w:t>The team</w:t>
      </w:r>
      <w:r>
        <w:rPr>
          <w:rFonts w:cs="Arial"/>
        </w:rPr>
        <w:t xml:space="preserve"> relies on schools and other establishments submitting information about their planned visits but a significant proportion of even relatively high risk visits are submitted late (40% within four weeks of the visit). However in</w:t>
      </w:r>
      <w:r w:rsidRPr="00370666">
        <w:rPr>
          <w:rFonts w:cs="Arial"/>
        </w:rPr>
        <w:t xml:space="preserve"> the majority of </w:t>
      </w:r>
      <w:r>
        <w:rPr>
          <w:rFonts w:cs="Arial"/>
        </w:rPr>
        <w:t xml:space="preserve">cases </w:t>
      </w:r>
      <w:r w:rsidRPr="00370666">
        <w:rPr>
          <w:rFonts w:cs="Arial"/>
        </w:rPr>
        <w:t xml:space="preserve">the team </w:t>
      </w:r>
      <w:r>
        <w:rPr>
          <w:rFonts w:cs="Arial"/>
        </w:rPr>
        <w:t xml:space="preserve">is </w:t>
      </w:r>
      <w:r w:rsidRPr="00370666">
        <w:rPr>
          <w:rFonts w:cs="Arial"/>
        </w:rPr>
        <w:t xml:space="preserve">able to </w:t>
      </w:r>
      <w:r>
        <w:rPr>
          <w:rFonts w:cs="Arial"/>
        </w:rPr>
        <w:t xml:space="preserve">respond before </w:t>
      </w:r>
      <w:r w:rsidRPr="00370666">
        <w:rPr>
          <w:rFonts w:cs="Arial"/>
        </w:rPr>
        <w:t>the visit tak</w:t>
      </w:r>
      <w:r>
        <w:rPr>
          <w:rFonts w:cs="Arial"/>
        </w:rPr>
        <w:t>es</w:t>
      </w:r>
      <w:r w:rsidRPr="00370666">
        <w:rPr>
          <w:rFonts w:cs="Arial"/>
        </w:rPr>
        <w:t xml:space="preserve"> place.</w:t>
      </w:r>
    </w:p>
    <w:p w14:paraId="5EB5F808" w14:textId="77777777" w:rsidR="005245D1" w:rsidRPr="00FC6482" w:rsidRDefault="00922BB7" w:rsidP="005245D1">
      <w:pPr>
        <w:pStyle w:val="Rparagraph"/>
        <w:rPr>
          <w:rFonts w:cs="Arial"/>
        </w:rPr>
      </w:pPr>
      <w:r w:rsidRPr="00FC6482">
        <w:rPr>
          <w:rFonts w:cs="Arial"/>
        </w:rPr>
        <w:t>An audit was undertaken by the team itself in mid-2018 to determine which establishments were using the system and whether they recorded all visits, higher risk visits only, or none at all and, if so, why. This work identified establishments that routinely misclassified visits or made unapproved visits, and those without an educational visit coordinator, and the team made direct contact with them.</w:t>
      </w:r>
    </w:p>
    <w:p w14:paraId="1D05E4A9" w14:textId="77777777" w:rsidR="00701A63" w:rsidRDefault="00701A63">
      <w:pPr>
        <w:spacing w:after="160" w:line="259" w:lineRule="auto"/>
        <w:rPr>
          <w:rFonts w:ascii="Arial" w:eastAsiaTheme="minorEastAsia" w:hAnsi="Arial" w:cstheme="minorBidi"/>
          <w:b/>
          <w:sz w:val="28"/>
          <w:szCs w:val="22"/>
        </w:rPr>
      </w:pPr>
      <w:r>
        <w:br w:type="page"/>
      </w:r>
    </w:p>
    <w:p w14:paraId="05F93070" w14:textId="6C6C97BB" w:rsidR="005245D1" w:rsidRPr="00982FDB" w:rsidRDefault="00922BB7" w:rsidP="005245D1">
      <w:pPr>
        <w:pStyle w:val="Rheading"/>
      </w:pPr>
      <w:r>
        <w:lastRenderedPageBreak/>
        <w:t xml:space="preserve">Audit work completed on service delivery controls: </w:t>
      </w:r>
      <w:r w:rsidRPr="004306E4">
        <w:t>Education &amp; Children's Services</w:t>
      </w:r>
    </w:p>
    <w:p w14:paraId="43C3F0E2"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171116">
        <w:rPr>
          <w:rFonts w:ascii="Arial" w:hAnsi="Arial" w:cs="Arial"/>
          <w:b/>
          <w:sz w:val="24"/>
          <w:szCs w:val="24"/>
          <w:lang w:eastAsia="en-GB"/>
        </w:rPr>
        <w:t>Special Educational Needs and Disabilities (SEND) Partnership</w:t>
      </w:r>
      <w:r>
        <w:rPr>
          <w:rFonts w:ascii="Arial" w:hAnsi="Arial" w:cs="Arial"/>
          <w:b/>
          <w:sz w:val="24"/>
          <w:szCs w:val="24"/>
          <w:lang w:eastAsia="en-GB"/>
        </w:rPr>
        <w:t xml:space="preserve"> </w:t>
      </w:r>
      <w:r w:rsidRPr="004306E4">
        <w:rPr>
          <w:rFonts w:ascii="Arial" w:hAnsi="Arial" w:cs="Arial"/>
          <w:b/>
          <w:sz w:val="24"/>
          <w:szCs w:val="24"/>
          <w:lang w:eastAsia="en-GB"/>
        </w:rPr>
        <w:t>improvement plan</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1+2</w:t>
      </w:r>
      <w:r w:rsidRPr="00D3378B">
        <w:rPr>
          <w:rFonts w:ascii="Arial" w:hAnsi="Arial" w:cs="Arial"/>
          <w:sz w:val="24"/>
          <w:szCs w:val="24"/>
          <w:lang w:eastAsia="en-GB"/>
        </w:rPr>
        <w:t>)</w:t>
      </w:r>
    </w:p>
    <w:p w14:paraId="4EFCF0C8" w14:textId="77777777" w:rsidR="005245D1" w:rsidRPr="00FC6482" w:rsidRDefault="00922BB7" w:rsidP="005245D1">
      <w:pPr>
        <w:pStyle w:val="Rparagraph"/>
        <w:rPr>
          <w:rFonts w:cs="Arial"/>
        </w:rPr>
      </w:pPr>
      <w:r w:rsidRPr="00FC6482">
        <w:rPr>
          <w:rFonts w:cs="Arial"/>
        </w:rPr>
        <w:t xml:space="preserve">Ofsted and the Care Quality Commission jointly inspected the </w:t>
      </w:r>
      <w:r>
        <w:rPr>
          <w:rFonts w:cs="Arial"/>
        </w:rPr>
        <w:t>local area's special educational needs and disabilities</w:t>
      </w:r>
      <w:r w:rsidRPr="00FC6482">
        <w:rPr>
          <w:rFonts w:cs="Arial"/>
        </w:rPr>
        <w:t xml:space="preserve"> </w:t>
      </w:r>
      <w:r>
        <w:rPr>
          <w:rFonts w:cs="Arial"/>
        </w:rPr>
        <w:t>s</w:t>
      </w:r>
      <w:r w:rsidRPr="00FC6482">
        <w:rPr>
          <w:rFonts w:cs="Arial"/>
        </w:rPr>
        <w:t xml:space="preserve">ervice in November 2017. They identified </w:t>
      </w:r>
      <w:r>
        <w:rPr>
          <w:rFonts w:cs="Arial"/>
        </w:rPr>
        <w:t>12</w:t>
      </w:r>
      <w:r w:rsidRPr="00FC6482">
        <w:rPr>
          <w:rFonts w:cs="Arial"/>
        </w:rPr>
        <w:t xml:space="preserve"> areas of significant concern across the </w:t>
      </w:r>
      <w:r>
        <w:rPr>
          <w:rFonts w:cs="Arial"/>
        </w:rPr>
        <w:t xml:space="preserve">area </w:t>
      </w:r>
      <w:r w:rsidRPr="00FC6482">
        <w:rPr>
          <w:rFonts w:cs="Arial"/>
        </w:rPr>
        <w:t>including strategic leadership and vision, understanding of the local area, joint commissioning and engagement with parents and carers.</w:t>
      </w:r>
    </w:p>
    <w:p w14:paraId="58AE0AF6" w14:textId="77777777" w:rsidR="005245D1" w:rsidRPr="00FC6482" w:rsidRDefault="00922BB7" w:rsidP="005245D1">
      <w:pPr>
        <w:pStyle w:val="Rparagraph"/>
        <w:rPr>
          <w:rFonts w:cs="Arial"/>
        </w:rPr>
      </w:pPr>
      <w:r w:rsidRPr="00FC6482">
        <w:rPr>
          <w:rFonts w:cs="Arial"/>
        </w:rPr>
        <w:t>A partnership was formed of all the relevant agencies to address the issues, and its board includes representatives from the education and health sectors, parents and carers, young people and the county council. It is accountable to the Lancashire Health and Wellbeing Board, the Joint Committee of the Clinical Commissioning Groups, and Lancashire County Council's Cabinet.</w:t>
      </w:r>
    </w:p>
    <w:p w14:paraId="27E76532" w14:textId="77777777" w:rsidR="005245D1" w:rsidRPr="00FC6482" w:rsidRDefault="00922BB7" w:rsidP="005245D1">
      <w:pPr>
        <w:pStyle w:val="Rparagraph"/>
        <w:rPr>
          <w:rFonts w:cs="Arial"/>
        </w:rPr>
      </w:pPr>
      <w:r w:rsidRPr="00FC6482">
        <w:rPr>
          <w:rFonts w:cs="Arial"/>
        </w:rPr>
        <w:t xml:space="preserve">A written statement of actions was initially developed by the partnership to address the </w:t>
      </w:r>
      <w:r>
        <w:rPr>
          <w:rFonts w:cs="Arial"/>
        </w:rPr>
        <w:t>12</w:t>
      </w:r>
      <w:r w:rsidRPr="00FC6482">
        <w:rPr>
          <w:rFonts w:cs="Arial"/>
        </w:rPr>
        <w:t xml:space="preserve"> areas of concern and this has since been </w:t>
      </w:r>
      <w:r>
        <w:rPr>
          <w:rFonts w:cs="Arial"/>
        </w:rPr>
        <w:t xml:space="preserve">supported </w:t>
      </w:r>
      <w:r w:rsidRPr="00FC6482">
        <w:rPr>
          <w:rFonts w:cs="Arial"/>
        </w:rPr>
        <w:t xml:space="preserve">by a longer term improvement plan. This addresses four key priorities across 27 areas supported by 94 specific actions which directly address Ofsted's findings. </w:t>
      </w:r>
    </w:p>
    <w:p w14:paraId="7322033B" w14:textId="77777777" w:rsidR="005245D1" w:rsidRPr="00DA634F" w:rsidRDefault="00922BB7" w:rsidP="005245D1">
      <w:pPr>
        <w:pStyle w:val="Rparagraph"/>
        <w:rPr>
          <w:rFonts w:cs="Arial"/>
        </w:rPr>
      </w:pPr>
      <w:r w:rsidRPr="00FC6482">
        <w:rPr>
          <w:rFonts w:cs="Arial"/>
        </w:rPr>
        <w:t xml:space="preserve">The partnership's governance structures, decision making and monitoring processes are sufficient to facilitate the management and implementation of the improvement plan. </w:t>
      </w:r>
      <w:r>
        <w:rPr>
          <w:rFonts w:cs="Arial"/>
        </w:rPr>
        <w:t>T</w:t>
      </w:r>
      <w:r w:rsidRPr="00FC6482">
        <w:rPr>
          <w:rFonts w:cs="Arial"/>
        </w:rPr>
        <w:t xml:space="preserve">his control system is operating as intended and, as at September 2019, most of the actions have been </w:t>
      </w:r>
      <w:r w:rsidRPr="00DA634F">
        <w:rPr>
          <w:rFonts w:cs="Arial"/>
        </w:rPr>
        <w:t>reported as delivered or are progressing. Ten have been delayed and the reasons, with updates, are being reported to the board. Detailed evidence and data are retained by the SEND Partnership team within the council's Education &amp; Children's Services.</w:t>
      </w:r>
    </w:p>
    <w:p w14:paraId="7AE2E6FD"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Lancashire Safeguarding Children's Board (LSCB) governance of expenditure</w:t>
      </w:r>
      <w:r>
        <w:rPr>
          <w:rFonts w:ascii="Arial" w:hAnsi="Arial" w:cs="Arial"/>
          <w:b/>
          <w:sz w:val="24"/>
          <w:szCs w:val="24"/>
          <w:lang w:eastAsia="en-GB"/>
        </w:rPr>
        <w:tab/>
      </w:r>
      <w:r w:rsidRPr="00D3378B">
        <w:rPr>
          <w:rFonts w:ascii="Arial" w:hAnsi="Arial" w:cs="Arial"/>
          <w:sz w:val="24"/>
          <w:szCs w:val="24"/>
          <w:lang w:eastAsia="en-GB"/>
        </w:rPr>
        <w:t>(</w:t>
      </w:r>
      <w:r>
        <w:rPr>
          <w:rFonts w:ascii="Arial" w:hAnsi="Arial" w:cs="Arial"/>
          <w:sz w:val="24"/>
          <w:szCs w:val="24"/>
          <w:lang w:eastAsia="en-GB"/>
        </w:rPr>
        <w:t>Limited</w:t>
      </w:r>
      <w:r w:rsidRPr="00D3378B">
        <w:rPr>
          <w:rFonts w:ascii="Arial" w:hAnsi="Arial" w:cs="Arial"/>
          <w:sz w:val="24"/>
          <w:szCs w:val="24"/>
          <w:lang w:eastAsia="en-GB"/>
        </w:rPr>
        <w:t xml:space="preserve"> assurance</w:t>
      </w:r>
      <w:r>
        <w:rPr>
          <w:rFonts w:ascii="Arial" w:hAnsi="Arial" w:cs="Arial"/>
          <w:sz w:val="24"/>
          <w:szCs w:val="24"/>
          <w:lang w:eastAsia="en-GB"/>
        </w:rPr>
        <w:t>: type 1+2</w:t>
      </w:r>
      <w:r w:rsidRPr="00D3378B">
        <w:rPr>
          <w:rFonts w:ascii="Arial" w:hAnsi="Arial" w:cs="Arial"/>
          <w:sz w:val="24"/>
          <w:szCs w:val="24"/>
          <w:lang w:eastAsia="en-GB"/>
        </w:rPr>
        <w:t>)</w:t>
      </w:r>
    </w:p>
    <w:p w14:paraId="6DC48226" w14:textId="77777777" w:rsidR="005245D1" w:rsidRPr="005C7A2B" w:rsidRDefault="00922BB7" w:rsidP="005245D1">
      <w:pPr>
        <w:pStyle w:val="Rparagraph"/>
        <w:rPr>
          <w:rFonts w:cs="Arial"/>
        </w:rPr>
      </w:pPr>
      <w:r w:rsidRPr="00C3362E">
        <w:rPr>
          <w:rFonts w:cs="Arial"/>
        </w:rPr>
        <w:t>The Lancashi</w:t>
      </w:r>
      <w:r>
        <w:rPr>
          <w:rFonts w:cs="Arial"/>
        </w:rPr>
        <w:t>re Safeguarding Children Board wa</w:t>
      </w:r>
      <w:r w:rsidRPr="00C3362E">
        <w:rPr>
          <w:rFonts w:cs="Arial"/>
        </w:rPr>
        <w:t>s a statutory body with an independent chair</w:t>
      </w:r>
      <w:r>
        <w:rPr>
          <w:rFonts w:cs="Arial"/>
        </w:rPr>
        <w:t>,</w:t>
      </w:r>
      <w:r w:rsidRPr="00C3362E">
        <w:rPr>
          <w:rFonts w:cs="Arial"/>
        </w:rPr>
        <w:t xml:space="preserve"> accountable to the </w:t>
      </w:r>
      <w:r>
        <w:rPr>
          <w:rFonts w:cs="Arial"/>
        </w:rPr>
        <w:t xml:space="preserve">county </w:t>
      </w:r>
      <w:r w:rsidRPr="00C3362E">
        <w:rPr>
          <w:rFonts w:cs="Arial"/>
        </w:rPr>
        <w:t xml:space="preserve">council's </w:t>
      </w:r>
      <w:r>
        <w:rPr>
          <w:rFonts w:cs="Arial"/>
        </w:rPr>
        <w:t>c</w:t>
      </w:r>
      <w:r w:rsidRPr="00C3362E">
        <w:rPr>
          <w:rFonts w:cs="Arial"/>
        </w:rPr>
        <w:t xml:space="preserve">hief </w:t>
      </w:r>
      <w:r>
        <w:rPr>
          <w:rFonts w:cs="Arial"/>
        </w:rPr>
        <w:t>e</w:t>
      </w:r>
      <w:r w:rsidRPr="00C3362E">
        <w:rPr>
          <w:rFonts w:cs="Arial"/>
        </w:rPr>
        <w:t xml:space="preserve">xecutive. Its members </w:t>
      </w:r>
      <w:r>
        <w:rPr>
          <w:rFonts w:cs="Arial"/>
        </w:rPr>
        <w:t>we</w:t>
      </w:r>
      <w:r w:rsidRPr="00C3362E">
        <w:rPr>
          <w:rFonts w:cs="Arial"/>
        </w:rPr>
        <w:t xml:space="preserve">re senior managers from all </w:t>
      </w:r>
      <w:r>
        <w:rPr>
          <w:rFonts w:cs="Arial"/>
        </w:rPr>
        <w:t xml:space="preserve">the </w:t>
      </w:r>
      <w:r w:rsidRPr="00C3362E">
        <w:rPr>
          <w:rFonts w:cs="Arial"/>
        </w:rPr>
        <w:t>agencies in Lancashire with statutory safeguarding re</w:t>
      </w:r>
      <w:r>
        <w:rPr>
          <w:rFonts w:cs="Arial"/>
        </w:rPr>
        <w:t>sponsibilities and its purpose was</w:t>
      </w:r>
      <w:r w:rsidRPr="00C3362E">
        <w:rPr>
          <w:rFonts w:cs="Arial"/>
        </w:rPr>
        <w:t xml:space="preserve"> to ensure these agencies </w:t>
      </w:r>
      <w:r>
        <w:rPr>
          <w:rFonts w:cs="Arial"/>
        </w:rPr>
        <w:t>work</w:t>
      </w:r>
      <w:r w:rsidRPr="00C3362E">
        <w:rPr>
          <w:rFonts w:cs="Arial"/>
        </w:rPr>
        <w:t xml:space="preserve"> together effectively. It d</w:t>
      </w:r>
      <w:r>
        <w:rPr>
          <w:rFonts w:cs="Arial"/>
        </w:rPr>
        <w:t>id</w:t>
      </w:r>
      <w:r w:rsidRPr="00C3362E">
        <w:rPr>
          <w:rFonts w:cs="Arial"/>
        </w:rPr>
        <w:t xml:space="preserve"> this </w:t>
      </w:r>
      <w:r>
        <w:rPr>
          <w:rFonts w:cs="Arial"/>
        </w:rPr>
        <w:t xml:space="preserve">for example </w:t>
      </w:r>
      <w:r w:rsidRPr="00C3362E">
        <w:rPr>
          <w:rFonts w:cs="Arial"/>
        </w:rPr>
        <w:t xml:space="preserve">through reviewing cases where a child has died or been significantly harmed, and </w:t>
      </w:r>
      <w:r>
        <w:rPr>
          <w:rFonts w:cs="Arial"/>
        </w:rPr>
        <w:t xml:space="preserve">by </w:t>
      </w:r>
      <w:r w:rsidRPr="00C3362E">
        <w:rPr>
          <w:rFonts w:cs="Arial"/>
        </w:rPr>
        <w:t xml:space="preserve">providing guidance and </w:t>
      </w:r>
      <w:r>
        <w:rPr>
          <w:rFonts w:cs="Arial"/>
        </w:rPr>
        <w:t>training.</w:t>
      </w:r>
      <w:r w:rsidRPr="007861EE">
        <w:rPr>
          <w:rFonts w:cs="Arial"/>
        </w:rPr>
        <w:t xml:space="preserve"> </w:t>
      </w:r>
      <w:r>
        <w:rPr>
          <w:rFonts w:cs="Arial"/>
        </w:rPr>
        <w:t xml:space="preserve">It was </w:t>
      </w:r>
      <w:r w:rsidRPr="00C3362E">
        <w:rPr>
          <w:rFonts w:cs="Arial"/>
        </w:rPr>
        <w:t xml:space="preserve">supported by a </w:t>
      </w:r>
      <w:r>
        <w:rPr>
          <w:rFonts w:cs="Arial"/>
        </w:rPr>
        <w:t>team</w:t>
      </w:r>
      <w:r w:rsidRPr="00C3362E">
        <w:rPr>
          <w:rFonts w:cs="Arial"/>
        </w:rPr>
        <w:t xml:space="preserve"> within the council's Safeguarding, Inspection and Audit </w:t>
      </w:r>
      <w:r>
        <w:rPr>
          <w:rFonts w:cs="Arial"/>
        </w:rPr>
        <w:t xml:space="preserve">Service and the council's Oracle </w:t>
      </w:r>
      <w:r w:rsidRPr="00C3362E">
        <w:rPr>
          <w:rFonts w:cs="Arial"/>
        </w:rPr>
        <w:t xml:space="preserve">financial system is </w:t>
      </w:r>
      <w:r>
        <w:rPr>
          <w:rFonts w:cs="Arial"/>
        </w:rPr>
        <w:t xml:space="preserve">used </w:t>
      </w:r>
      <w:r w:rsidRPr="00C3362E">
        <w:rPr>
          <w:rFonts w:cs="Arial"/>
        </w:rPr>
        <w:t xml:space="preserve">to record </w:t>
      </w:r>
      <w:r>
        <w:rPr>
          <w:rFonts w:cs="Arial"/>
        </w:rPr>
        <w:t xml:space="preserve">the board's </w:t>
      </w:r>
      <w:r w:rsidRPr="00C3362E">
        <w:rPr>
          <w:rFonts w:cs="Arial"/>
        </w:rPr>
        <w:t xml:space="preserve">budgets and financial </w:t>
      </w:r>
      <w:r>
        <w:rPr>
          <w:rFonts w:cs="Arial"/>
        </w:rPr>
        <w:t>transactions.</w:t>
      </w:r>
    </w:p>
    <w:p w14:paraId="26C1F0F4" w14:textId="77777777" w:rsidR="005245D1" w:rsidRPr="005C7A2B" w:rsidRDefault="00922BB7" w:rsidP="005245D1">
      <w:pPr>
        <w:pStyle w:val="Rparagraph"/>
        <w:rPr>
          <w:rFonts w:cs="Arial"/>
        </w:rPr>
      </w:pPr>
      <w:r w:rsidRPr="00343DFD">
        <w:rPr>
          <w:rFonts w:cs="Arial"/>
        </w:rPr>
        <w:t xml:space="preserve">However the board has </w:t>
      </w:r>
      <w:r>
        <w:rPr>
          <w:rFonts w:cs="Arial"/>
        </w:rPr>
        <w:t xml:space="preserve">had </w:t>
      </w:r>
      <w:r w:rsidRPr="00343DFD">
        <w:rPr>
          <w:rFonts w:cs="Arial"/>
        </w:rPr>
        <w:t>no effective financial management arrangements</w:t>
      </w:r>
      <w:r>
        <w:rPr>
          <w:rFonts w:cs="Arial"/>
        </w:rPr>
        <w:t xml:space="preserve"> and the </w:t>
      </w:r>
      <w:r w:rsidRPr="00C3362E">
        <w:rPr>
          <w:rFonts w:cs="Arial"/>
        </w:rPr>
        <w:t>absence of an adequate fin</w:t>
      </w:r>
      <w:r>
        <w:rPr>
          <w:rFonts w:cs="Arial"/>
        </w:rPr>
        <w:t>ancial control framework has created</w:t>
      </w:r>
      <w:r w:rsidRPr="00C3362E">
        <w:rPr>
          <w:rFonts w:cs="Arial"/>
        </w:rPr>
        <w:t xml:space="preserve"> conditions in which illegitimate or uncontrolled spending, or error, could occur.</w:t>
      </w:r>
      <w:r>
        <w:rPr>
          <w:rFonts w:cs="Arial"/>
        </w:rPr>
        <w:t xml:space="preserve"> Nor has there been adequate </w:t>
      </w:r>
      <w:r w:rsidRPr="00C3362E">
        <w:rPr>
          <w:rFonts w:cs="Arial"/>
        </w:rPr>
        <w:t xml:space="preserve">oversight and scrutiny </w:t>
      </w:r>
      <w:r>
        <w:rPr>
          <w:rFonts w:cs="Arial"/>
        </w:rPr>
        <w:t xml:space="preserve">of the board's expenditure. We </w:t>
      </w:r>
      <w:r w:rsidRPr="00C3362E">
        <w:rPr>
          <w:rFonts w:cs="Arial"/>
        </w:rPr>
        <w:t>did not identify any illegitimate or inappropriate spend</w:t>
      </w:r>
      <w:r>
        <w:rPr>
          <w:rFonts w:cs="Arial"/>
        </w:rPr>
        <w:t xml:space="preserve">ing but it is </w:t>
      </w:r>
      <w:r w:rsidRPr="00C3362E">
        <w:rPr>
          <w:rFonts w:cs="Arial"/>
        </w:rPr>
        <w:t xml:space="preserve">likely that this </w:t>
      </w:r>
      <w:r>
        <w:rPr>
          <w:rFonts w:cs="Arial"/>
        </w:rPr>
        <w:t xml:space="preserve">lack of oversight </w:t>
      </w:r>
      <w:r w:rsidRPr="00C3362E">
        <w:rPr>
          <w:rFonts w:cs="Arial"/>
        </w:rPr>
        <w:t xml:space="preserve">contributed to the unchallenged accumulation of £307,000 of reserves at the end of 2018/19.  </w:t>
      </w:r>
    </w:p>
    <w:p w14:paraId="794591EF" w14:textId="77777777" w:rsidR="005245D1" w:rsidRPr="005C7A2B" w:rsidRDefault="00922BB7" w:rsidP="005245D1">
      <w:pPr>
        <w:pStyle w:val="Rparagraph"/>
        <w:rPr>
          <w:rFonts w:cs="Arial"/>
        </w:rPr>
      </w:pPr>
      <w:r w:rsidRPr="005C7A2B">
        <w:rPr>
          <w:rFonts w:cs="Arial"/>
        </w:rPr>
        <w:t xml:space="preserve">We understand that similar arrangements are in place to support the Lancashire Safeguarding Adults Board. The council's senior managers are </w:t>
      </w:r>
      <w:r w:rsidRPr="005C7A2B">
        <w:rPr>
          <w:rFonts w:cs="Arial"/>
        </w:rPr>
        <w:lastRenderedPageBreak/>
        <w:t xml:space="preserve">therefore now taking action to ensure that </w:t>
      </w:r>
      <w:r>
        <w:rPr>
          <w:rFonts w:cs="Arial"/>
        </w:rPr>
        <w:t>board's</w:t>
      </w:r>
      <w:r w:rsidRPr="005C7A2B">
        <w:rPr>
          <w:rFonts w:cs="Arial"/>
        </w:rPr>
        <w:t xml:space="preserve"> financial arrangements are strengthened and that there is appropriate transparency in </w:t>
      </w:r>
      <w:r>
        <w:rPr>
          <w:rFonts w:cs="Arial"/>
        </w:rPr>
        <w:t xml:space="preserve">its </w:t>
      </w:r>
      <w:r w:rsidRPr="005C7A2B">
        <w:rPr>
          <w:rFonts w:cs="Arial"/>
        </w:rPr>
        <w:t>use of funds.</w:t>
      </w:r>
    </w:p>
    <w:p w14:paraId="7CFC8118" w14:textId="47466734" w:rsidR="005245D1" w:rsidRDefault="00922BB7" w:rsidP="005245D1">
      <w:pPr>
        <w:pStyle w:val="Rparagraph"/>
        <w:rPr>
          <w:rFonts w:cs="Arial"/>
        </w:rPr>
      </w:pPr>
      <w:r>
        <w:rPr>
          <w:rFonts w:cs="Arial"/>
        </w:rPr>
        <w:t xml:space="preserve">The LSCB was </w:t>
      </w:r>
      <w:r w:rsidRPr="0048482A">
        <w:rPr>
          <w:rFonts w:cs="Arial"/>
        </w:rPr>
        <w:t>replaced in September 2019</w:t>
      </w:r>
      <w:r>
        <w:rPr>
          <w:rFonts w:cs="Arial"/>
        </w:rPr>
        <w:t xml:space="preserve"> </w:t>
      </w:r>
      <w:r w:rsidRPr="0048482A">
        <w:rPr>
          <w:rFonts w:cs="Arial"/>
        </w:rPr>
        <w:t>by new statutory area safeguarding arrangements</w:t>
      </w:r>
      <w:r>
        <w:rPr>
          <w:rFonts w:cs="Arial"/>
        </w:rPr>
        <w:t xml:space="preserve"> across the whole of Lancashire under the </w:t>
      </w:r>
      <w:r w:rsidRPr="007861EE">
        <w:rPr>
          <w:rFonts w:cs="Arial"/>
        </w:rPr>
        <w:t xml:space="preserve">Blackburn with </w:t>
      </w:r>
      <w:proofErr w:type="spellStart"/>
      <w:r w:rsidRPr="007861EE">
        <w:rPr>
          <w:rFonts w:cs="Arial"/>
        </w:rPr>
        <w:t>Darwen</w:t>
      </w:r>
      <w:proofErr w:type="spellEnd"/>
      <w:r w:rsidRPr="007861EE">
        <w:rPr>
          <w:rFonts w:cs="Arial"/>
        </w:rPr>
        <w:t>, Blackpool and Lancashire Children's Safeguar</w:t>
      </w:r>
      <w:r w:rsidR="002F65C2">
        <w:rPr>
          <w:rFonts w:cs="Arial"/>
        </w:rPr>
        <w:t>ding Assurance Partnership and its financial arrangements will be different from those for the LSCB.</w:t>
      </w:r>
    </w:p>
    <w:p w14:paraId="590C39D3" w14:textId="77777777" w:rsidR="001A0DF8" w:rsidRDefault="001A0DF8" w:rsidP="001A0DF8">
      <w:pPr>
        <w:tabs>
          <w:tab w:val="num" w:pos="567"/>
          <w:tab w:val="right" w:pos="9072"/>
        </w:tabs>
        <w:spacing w:before="120" w:line="240" w:lineRule="auto"/>
        <w:ind w:left="567"/>
        <w:rPr>
          <w:rFonts w:ascii="Arial" w:hAnsi="Arial" w:cs="Arial"/>
          <w:b/>
          <w:sz w:val="24"/>
          <w:szCs w:val="24"/>
          <w:lang w:eastAsia="en-GB"/>
        </w:rPr>
      </w:pPr>
      <w:r w:rsidRPr="004306E4">
        <w:rPr>
          <w:rFonts w:ascii="Arial" w:hAnsi="Arial" w:cs="Arial"/>
          <w:b/>
          <w:sz w:val="24"/>
          <w:szCs w:val="24"/>
          <w:lang w:eastAsia="en-GB"/>
        </w:rPr>
        <w:t>Schools' Financial Value Standard (SFVS) self-assessments</w:t>
      </w:r>
    </w:p>
    <w:p w14:paraId="45132699" w14:textId="77777777" w:rsidR="001A0DF8" w:rsidRDefault="001A0DF8" w:rsidP="001A0DF8">
      <w:pPr>
        <w:tabs>
          <w:tab w:val="num" w:pos="567"/>
          <w:tab w:val="right" w:pos="9072"/>
        </w:tabs>
        <w:spacing w:after="120" w:line="240" w:lineRule="auto"/>
        <w:ind w:left="567"/>
        <w:rPr>
          <w:rFonts w:ascii="Arial" w:hAnsi="Arial" w:cs="Arial"/>
          <w:sz w:val="24"/>
          <w:szCs w:val="24"/>
          <w:lang w:eastAsia="en-GB"/>
        </w:rPr>
      </w:pPr>
      <w:r>
        <w:rPr>
          <w:rFonts w:ascii="Arial" w:hAnsi="Arial" w:cs="Arial"/>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2</w:t>
      </w:r>
      <w:r w:rsidRPr="00D3378B">
        <w:rPr>
          <w:rFonts w:ascii="Arial" w:hAnsi="Arial" w:cs="Arial"/>
          <w:sz w:val="24"/>
          <w:szCs w:val="24"/>
          <w:lang w:eastAsia="en-GB"/>
        </w:rPr>
        <w:t>)</w:t>
      </w:r>
    </w:p>
    <w:p w14:paraId="0ABC9859" w14:textId="77777777" w:rsidR="001A0DF8" w:rsidRDefault="001A0DF8" w:rsidP="001A0DF8">
      <w:pPr>
        <w:pStyle w:val="Rparagraph"/>
        <w:rPr>
          <w:rFonts w:cs="Arial"/>
        </w:rPr>
      </w:pPr>
      <w:r w:rsidRPr="00B245C4">
        <w:rPr>
          <w:rFonts w:cs="Arial"/>
        </w:rPr>
        <w:t xml:space="preserve">All schools submitted self-assessments </w:t>
      </w:r>
      <w:r>
        <w:rPr>
          <w:rFonts w:cs="Arial"/>
        </w:rPr>
        <w:t xml:space="preserve">for </w:t>
      </w:r>
      <w:r w:rsidRPr="00B245C4">
        <w:rPr>
          <w:rFonts w:cs="Arial"/>
        </w:rPr>
        <w:t>2018</w:t>
      </w:r>
      <w:r>
        <w:rPr>
          <w:rFonts w:cs="Arial"/>
        </w:rPr>
        <w:t>/19</w:t>
      </w:r>
      <w:r w:rsidRPr="00B245C4">
        <w:rPr>
          <w:rFonts w:cs="Arial"/>
        </w:rPr>
        <w:t xml:space="preserve"> reflecting their governance and financial arrangements, and the ones we tested were supported by evidence.</w:t>
      </w:r>
    </w:p>
    <w:p w14:paraId="002D3CDE" w14:textId="77777777" w:rsidR="001A0DF8" w:rsidRDefault="001A0DF8" w:rsidP="001A0DF8">
      <w:pPr>
        <w:pStyle w:val="Rparagraph"/>
        <w:rPr>
          <w:rFonts w:cs="Arial"/>
        </w:rPr>
      </w:pPr>
      <w:r w:rsidRPr="00B245C4">
        <w:rPr>
          <w:rFonts w:cs="Arial"/>
        </w:rPr>
        <w:t xml:space="preserve">Schools' governing </w:t>
      </w:r>
      <w:r>
        <w:rPr>
          <w:rFonts w:cs="Arial"/>
        </w:rPr>
        <w:t xml:space="preserve">bodies </w:t>
      </w:r>
      <w:r w:rsidRPr="00B245C4">
        <w:rPr>
          <w:rFonts w:cs="Arial"/>
        </w:rPr>
        <w:t>review and approve annual budgets prior to submission to the council and regularly monitor progress, with variances explained in reports and challenged during meetings. Full governing board meetings are professionally clerked and capture governor challenge and scrutiny, and key approvals. Most schools were able to provide governor competency matrices identifying key skills and development needs, and m</w:t>
      </w:r>
      <w:r>
        <w:rPr>
          <w:rFonts w:cs="Arial"/>
        </w:rPr>
        <w:t xml:space="preserve">eeting minutes confirm </w:t>
      </w:r>
      <w:r w:rsidRPr="00B245C4">
        <w:rPr>
          <w:rFonts w:cs="Arial"/>
        </w:rPr>
        <w:t xml:space="preserve">that they </w:t>
      </w:r>
      <w:r>
        <w:rPr>
          <w:rFonts w:cs="Arial"/>
        </w:rPr>
        <w:t xml:space="preserve">are </w:t>
      </w:r>
      <w:r w:rsidRPr="00B245C4">
        <w:rPr>
          <w:rFonts w:cs="Arial"/>
        </w:rPr>
        <w:t xml:space="preserve">actively used to assess and address </w:t>
      </w:r>
      <w:r>
        <w:rPr>
          <w:rFonts w:cs="Arial"/>
        </w:rPr>
        <w:t xml:space="preserve">governors' </w:t>
      </w:r>
      <w:r w:rsidRPr="00B245C4">
        <w:rPr>
          <w:rFonts w:cs="Arial"/>
        </w:rPr>
        <w:t>training requirements.</w:t>
      </w:r>
    </w:p>
    <w:p w14:paraId="7DF17EE9" w14:textId="77777777" w:rsidR="005245D1" w:rsidRPr="003B6CEB" w:rsidRDefault="00922BB7" w:rsidP="005245D1">
      <w:pPr>
        <w:tabs>
          <w:tab w:val="num" w:pos="567"/>
          <w:tab w:val="right" w:pos="9072"/>
        </w:tabs>
        <w:spacing w:before="120" w:line="240" w:lineRule="auto"/>
        <w:ind w:left="567"/>
        <w:rPr>
          <w:rFonts w:ascii="Arial" w:hAnsi="Arial" w:cs="Arial"/>
          <w:b/>
          <w:sz w:val="24"/>
          <w:szCs w:val="24"/>
          <w:lang w:eastAsia="en-GB"/>
        </w:rPr>
      </w:pPr>
      <w:r w:rsidRPr="003B6CEB">
        <w:rPr>
          <w:rFonts w:ascii="Arial" w:hAnsi="Arial" w:cs="Arial"/>
          <w:b/>
          <w:sz w:val="24"/>
          <w:szCs w:val="24"/>
          <w:lang w:eastAsia="en-GB"/>
        </w:rPr>
        <w:t xml:space="preserve">Safekeeping of heritage assets held in museums and libraries </w:t>
      </w:r>
    </w:p>
    <w:p w14:paraId="349EA0F7" w14:textId="77777777" w:rsidR="005245D1" w:rsidRPr="003B6CEB" w:rsidRDefault="00922BB7" w:rsidP="005245D1">
      <w:pPr>
        <w:tabs>
          <w:tab w:val="num" w:pos="567"/>
          <w:tab w:val="right" w:pos="9072"/>
        </w:tabs>
        <w:spacing w:after="120" w:line="240" w:lineRule="auto"/>
        <w:ind w:left="567"/>
        <w:rPr>
          <w:rFonts w:ascii="Arial" w:hAnsi="Arial" w:cs="Arial"/>
          <w:sz w:val="24"/>
          <w:szCs w:val="24"/>
          <w:lang w:eastAsia="en-GB"/>
        </w:rPr>
      </w:pPr>
      <w:r w:rsidRPr="003B6CEB">
        <w:rPr>
          <w:rFonts w:ascii="Arial" w:hAnsi="Arial" w:cs="Arial"/>
          <w:sz w:val="24"/>
          <w:szCs w:val="24"/>
          <w:lang w:eastAsia="en-GB"/>
        </w:rPr>
        <w:tab/>
        <w:t xml:space="preserve">(Substantial assurance: type </w:t>
      </w:r>
      <w:r>
        <w:rPr>
          <w:rFonts w:ascii="Arial" w:hAnsi="Arial" w:cs="Arial"/>
          <w:sz w:val="24"/>
          <w:szCs w:val="24"/>
          <w:lang w:eastAsia="en-GB"/>
        </w:rPr>
        <w:t>1</w:t>
      </w:r>
      <w:r w:rsidRPr="003B6CEB">
        <w:rPr>
          <w:rFonts w:ascii="Arial" w:hAnsi="Arial" w:cs="Arial"/>
          <w:sz w:val="24"/>
          <w:szCs w:val="24"/>
          <w:lang w:eastAsia="en-GB"/>
        </w:rPr>
        <w:t>)</w:t>
      </w:r>
    </w:p>
    <w:p w14:paraId="4491E1FF" w14:textId="77777777" w:rsidR="005245D1" w:rsidRPr="003B6CEB" w:rsidRDefault="00922BB7" w:rsidP="005245D1">
      <w:pPr>
        <w:pStyle w:val="Rparagraph"/>
        <w:rPr>
          <w:rFonts w:cs="Arial"/>
        </w:rPr>
      </w:pPr>
      <w:r w:rsidRPr="003B6CEB">
        <w:rPr>
          <w:rFonts w:cs="Arial"/>
        </w:rPr>
        <w:t>Heritage assets are items with historic, artistic, cultural or information value and the council has an extensive collection displayed or stored in its own and partners' museums, libraries and archives. It is important that they are managed effectively to reduce the risk of damage, theft or loss.</w:t>
      </w:r>
    </w:p>
    <w:p w14:paraId="2B97CB4E" w14:textId="77777777" w:rsidR="005245D1" w:rsidRPr="00550D47" w:rsidRDefault="00922BB7" w:rsidP="005245D1">
      <w:pPr>
        <w:pStyle w:val="Rparagraph"/>
        <w:rPr>
          <w:rFonts w:cs="Arial"/>
        </w:rPr>
      </w:pPr>
      <w:r w:rsidRPr="00550D47">
        <w:rPr>
          <w:rFonts w:cs="Arial"/>
        </w:rPr>
        <w:t>The Collections Management Strategy is comprehensive and sets out strategies for collections</w:t>
      </w:r>
      <w:r>
        <w:rPr>
          <w:rFonts w:cs="Arial"/>
        </w:rPr>
        <w:t>'</w:t>
      </w:r>
      <w:r w:rsidRPr="00550D47">
        <w:rPr>
          <w:rFonts w:cs="Arial"/>
        </w:rPr>
        <w:t xml:space="preserve"> information, access, care and conservation. Supporting policies include information on asset storage, display, security and transport. Further procedures and guidance cover insurance, </w:t>
      </w:r>
      <w:r w:rsidRPr="003B6CEB">
        <w:rPr>
          <w:rFonts w:cs="Arial"/>
        </w:rPr>
        <w:t xml:space="preserve">loans and donations, </w:t>
      </w:r>
      <w:r w:rsidRPr="00550D47">
        <w:rPr>
          <w:rFonts w:cs="Arial"/>
        </w:rPr>
        <w:t>building security, CCTV, and counter terrorism amongst other things. Staff expertise is concentrated in museums and the archive office, where the majority of significant cultural items and collections are displayed and stored.</w:t>
      </w:r>
    </w:p>
    <w:p w14:paraId="795F36BD" w14:textId="29AC4C4D" w:rsidR="005245D1" w:rsidRPr="00982FDB" w:rsidRDefault="00922BB7" w:rsidP="005245D1">
      <w:pPr>
        <w:pStyle w:val="Rheading"/>
      </w:pPr>
      <w:r>
        <w:t>Work completed on business process controls</w:t>
      </w:r>
      <w:r w:rsidRPr="00982FDB">
        <w:t xml:space="preserve">: </w:t>
      </w:r>
      <w:r>
        <w:t>f</w:t>
      </w:r>
      <w:r w:rsidR="001A0DF8">
        <w:t>inancial systems and processes</w:t>
      </w:r>
    </w:p>
    <w:p w14:paraId="54C3F4D5"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VAT</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2</w:t>
      </w:r>
      <w:r w:rsidRPr="00D3378B">
        <w:rPr>
          <w:rFonts w:ascii="Arial" w:hAnsi="Arial" w:cs="Arial"/>
          <w:sz w:val="24"/>
          <w:szCs w:val="24"/>
          <w:lang w:eastAsia="en-GB"/>
        </w:rPr>
        <w:t>)</w:t>
      </w:r>
    </w:p>
    <w:p w14:paraId="7C947919" w14:textId="77777777" w:rsidR="005245D1" w:rsidRPr="005C7A2B" w:rsidRDefault="00922BB7" w:rsidP="005245D1">
      <w:pPr>
        <w:pStyle w:val="Rparagraph"/>
        <w:rPr>
          <w:rFonts w:cs="Arial"/>
        </w:rPr>
      </w:pPr>
      <w:r w:rsidRPr="00B93671">
        <w:rPr>
          <w:rFonts w:cs="Arial"/>
        </w:rPr>
        <w:t>The council's statutory activities are outside the scope of VAT but special rules mean it can recover VAT on goods and services purchased for non-business activities and VAT incurred on exempt supplies such as property or certain education services, provided that it is not significant</w:t>
      </w:r>
      <w:r>
        <w:rPr>
          <w:rFonts w:cs="Arial"/>
        </w:rPr>
        <w:t xml:space="preserve"> (not more than </w:t>
      </w:r>
      <w:r w:rsidRPr="00B93671">
        <w:rPr>
          <w:rFonts w:cs="Arial"/>
        </w:rPr>
        <w:t>5% of the total VAT incurred</w:t>
      </w:r>
      <w:r>
        <w:rPr>
          <w:rFonts w:cs="Arial"/>
        </w:rPr>
        <w:t>)</w:t>
      </w:r>
      <w:r w:rsidRPr="00B93671">
        <w:rPr>
          <w:rFonts w:cs="Arial"/>
        </w:rPr>
        <w:t>.</w:t>
      </w:r>
    </w:p>
    <w:p w14:paraId="66F6BF99" w14:textId="77777777" w:rsidR="005245D1" w:rsidRPr="005C7A2B" w:rsidRDefault="00922BB7" w:rsidP="005245D1">
      <w:pPr>
        <w:pStyle w:val="Rparagraph"/>
        <w:rPr>
          <w:rFonts w:cs="Arial"/>
        </w:rPr>
      </w:pPr>
      <w:r w:rsidRPr="005C7A2B">
        <w:rPr>
          <w:rFonts w:cs="Arial"/>
        </w:rPr>
        <w:t xml:space="preserve">There are effective procedures to ensure that the council's VAT returns are accurate, reconcile to source data and submitted on time to HMRC. The VAT team checks the accuracy and completeness of returns monthly, and </w:t>
      </w:r>
      <w:r w:rsidRPr="005C7A2B">
        <w:rPr>
          <w:rFonts w:cs="Arial"/>
        </w:rPr>
        <w:lastRenderedPageBreak/>
        <w:t>compliance with HMRC's rules for reclaiming VAT on exempt supplies is regularly monitored by the VAT manager.</w:t>
      </w:r>
    </w:p>
    <w:p w14:paraId="30579E33" w14:textId="77777777" w:rsidR="005245D1" w:rsidRPr="00982FDB" w:rsidRDefault="00922BB7" w:rsidP="005245D1">
      <w:pPr>
        <w:pStyle w:val="Rheading"/>
      </w:pPr>
      <w:r>
        <w:t>Work completed on service support controls</w:t>
      </w:r>
      <w:r w:rsidRPr="00982FDB">
        <w:t xml:space="preserve">: </w:t>
      </w:r>
      <w:r>
        <w:t>t</w:t>
      </w:r>
      <w:r w:rsidRPr="004306E4">
        <w:t>echnology</w:t>
      </w:r>
    </w:p>
    <w:p w14:paraId="2C5CD083" w14:textId="77777777" w:rsidR="005245D1" w:rsidRDefault="00922BB7" w:rsidP="005245D1">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 xml:space="preserve">ICT </w:t>
      </w:r>
      <w:r>
        <w:rPr>
          <w:rFonts w:ascii="Arial" w:hAnsi="Arial" w:cs="Arial"/>
          <w:b/>
          <w:sz w:val="24"/>
          <w:szCs w:val="24"/>
          <w:lang w:eastAsia="en-GB"/>
        </w:rPr>
        <w:t>S</w:t>
      </w:r>
      <w:r w:rsidRPr="004306E4">
        <w:rPr>
          <w:rFonts w:ascii="Arial" w:hAnsi="Arial" w:cs="Arial"/>
          <w:b/>
          <w:sz w:val="24"/>
          <w:szCs w:val="24"/>
          <w:lang w:eastAsia="en-GB"/>
        </w:rPr>
        <w:t>ervice governance</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14:paraId="7FB7FE17" w14:textId="3EACC50E" w:rsidR="005245D1" w:rsidRPr="005C7A2B" w:rsidRDefault="00922BB7" w:rsidP="005245D1">
      <w:pPr>
        <w:pStyle w:val="Rparagraph"/>
        <w:rPr>
          <w:rFonts w:cs="Arial"/>
        </w:rPr>
      </w:pPr>
      <w:r w:rsidRPr="00197BB9">
        <w:rPr>
          <w:rFonts w:cs="Arial"/>
        </w:rPr>
        <w:t>The service provision agreement sets out head</w:t>
      </w:r>
      <w:r w:rsidR="00C51699">
        <w:rPr>
          <w:rFonts w:cs="Arial"/>
        </w:rPr>
        <w:t>s</w:t>
      </w:r>
      <w:r w:rsidRPr="00197BB9">
        <w:rPr>
          <w:rFonts w:cs="Arial"/>
        </w:rPr>
        <w:t xml:space="preserve"> of terms for the service provided by BTLS and is supported by detailed </w:t>
      </w:r>
      <w:r>
        <w:rPr>
          <w:rFonts w:cs="Arial"/>
        </w:rPr>
        <w:t>service-</w:t>
      </w:r>
      <w:r w:rsidRPr="00197BB9">
        <w:rPr>
          <w:rFonts w:cs="Arial"/>
        </w:rPr>
        <w:t>specific schedules</w:t>
      </w:r>
      <w:r w:rsidR="001A0DF8">
        <w:rPr>
          <w:rFonts w:cs="Arial"/>
        </w:rPr>
        <w:t xml:space="preserve"> and </w:t>
      </w:r>
      <w:r w:rsidRPr="00197BB9">
        <w:rPr>
          <w:rFonts w:cs="Arial"/>
        </w:rPr>
        <w:t>performance management arrangements</w:t>
      </w:r>
      <w:r w:rsidR="001A0DF8">
        <w:rPr>
          <w:rFonts w:cs="Arial"/>
        </w:rPr>
        <w:t>. R</w:t>
      </w:r>
      <w:r w:rsidRPr="00197BB9">
        <w:rPr>
          <w:rFonts w:cs="Arial"/>
        </w:rPr>
        <w:t xml:space="preserve">eports on projects, payroll, and recruitment as well ICT service delivery are shared at a monthly service governance meeting. </w:t>
      </w:r>
      <w:r>
        <w:rPr>
          <w:rFonts w:cs="Arial"/>
        </w:rPr>
        <w:t>The contract's</w:t>
      </w:r>
      <w:r w:rsidRPr="00197BB9">
        <w:rPr>
          <w:rFonts w:cs="Arial"/>
        </w:rPr>
        <w:t xml:space="preserve"> key performance indicators </w:t>
      </w:r>
      <w:r>
        <w:rPr>
          <w:rFonts w:cs="Arial"/>
        </w:rPr>
        <w:t xml:space="preserve">have recently been amended to become </w:t>
      </w:r>
      <w:r w:rsidRPr="00197BB9">
        <w:rPr>
          <w:rFonts w:cs="Arial"/>
        </w:rPr>
        <w:t>more robust</w:t>
      </w:r>
      <w:r>
        <w:rPr>
          <w:rFonts w:cs="Arial"/>
        </w:rPr>
        <w:t xml:space="preserve"> before</w:t>
      </w:r>
      <w:r w:rsidRPr="00197BB9">
        <w:rPr>
          <w:rFonts w:cs="Arial"/>
        </w:rPr>
        <w:t xml:space="preserve"> the contract end</w:t>
      </w:r>
      <w:r>
        <w:rPr>
          <w:rFonts w:cs="Arial"/>
        </w:rPr>
        <w:t>s</w:t>
      </w:r>
      <w:r w:rsidRPr="00197BB9">
        <w:rPr>
          <w:rFonts w:cs="Arial"/>
        </w:rPr>
        <w:t xml:space="preserve"> in March 2021</w:t>
      </w:r>
      <w:r>
        <w:rPr>
          <w:rFonts w:cs="Arial"/>
        </w:rPr>
        <w:t>.</w:t>
      </w:r>
    </w:p>
    <w:p w14:paraId="509BA3A7" w14:textId="539B47BB" w:rsidR="005245D1" w:rsidRPr="005C7A2B" w:rsidRDefault="00922BB7" w:rsidP="005245D1">
      <w:pPr>
        <w:pStyle w:val="Rparagraph"/>
        <w:rPr>
          <w:rFonts w:cs="Arial"/>
        </w:rPr>
      </w:pPr>
      <w:r w:rsidRPr="00197BB9">
        <w:rPr>
          <w:rFonts w:cs="Arial"/>
        </w:rPr>
        <w:t xml:space="preserve">The council’s oversight of and support for BTLS's work and ICT service delivery </w:t>
      </w:r>
      <w:r w:rsidR="002F65C2">
        <w:rPr>
          <w:rFonts w:cs="Arial"/>
        </w:rPr>
        <w:t xml:space="preserve">are </w:t>
      </w:r>
      <w:r w:rsidRPr="00197BB9">
        <w:rPr>
          <w:rFonts w:cs="Arial"/>
        </w:rPr>
        <w:t xml:space="preserve">achieved through a number of different groups although, taken together, they perhaps form an unnecessarily complex framework of governance. </w:t>
      </w:r>
      <w:r>
        <w:rPr>
          <w:rFonts w:cs="Arial"/>
        </w:rPr>
        <w:t xml:space="preserve">Assurance over various aspects of </w:t>
      </w:r>
      <w:r w:rsidRPr="00197BB9">
        <w:rPr>
          <w:rFonts w:cs="Arial"/>
        </w:rPr>
        <w:t xml:space="preserve">ICT service provision </w:t>
      </w:r>
      <w:r>
        <w:rPr>
          <w:rFonts w:cs="Arial"/>
        </w:rPr>
        <w:t>is available from a number of sources but this is not routinely collated and considered.</w:t>
      </w:r>
    </w:p>
    <w:p w14:paraId="664DA0A7" w14:textId="095591CC" w:rsidR="00435720" w:rsidRPr="004E6EA4" w:rsidRDefault="00922BB7" w:rsidP="004E6EA4">
      <w:pPr>
        <w:pStyle w:val="Rparagraph"/>
        <w:rPr>
          <w:rFonts w:cs="Arial"/>
        </w:rPr>
      </w:pPr>
      <w:r>
        <w:rPr>
          <w:rFonts w:cs="Arial"/>
        </w:rPr>
        <w:t>Until October 2019 t</w:t>
      </w:r>
      <w:r w:rsidRPr="00197BB9">
        <w:rPr>
          <w:rFonts w:cs="Arial"/>
        </w:rPr>
        <w:t>he council lack</w:t>
      </w:r>
      <w:r>
        <w:rPr>
          <w:rFonts w:cs="Arial"/>
        </w:rPr>
        <w:t>ed</w:t>
      </w:r>
      <w:r w:rsidRPr="00197BB9">
        <w:rPr>
          <w:rFonts w:cs="Arial"/>
        </w:rPr>
        <w:t xml:space="preserve"> the key policies </w:t>
      </w:r>
      <w:r>
        <w:rPr>
          <w:rFonts w:cs="Arial"/>
        </w:rPr>
        <w:t xml:space="preserve">– a </w:t>
      </w:r>
      <w:r w:rsidRPr="00197BB9">
        <w:rPr>
          <w:rFonts w:cs="Arial"/>
        </w:rPr>
        <w:t>Digital Strategy</w:t>
      </w:r>
      <w:r>
        <w:rPr>
          <w:rFonts w:cs="Arial"/>
        </w:rPr>
        <w:t xml:space="preserve"> and </w:t>
      </w:r>
      <w:r w:rsidRPr="00197BB9">
        <w:rPr>
          <w:rFonts w:cs="Arial"/>
        </w:rPr>
        <w:t xml:space="preserve">IT Strategy </w:t>
      </w:r>
      <w:r>
        <w:rPr>
          <w:rFonts w:cs="Arial"/>
        </w:rPr>
        <w:t xml:space="preserve">in particular – </w:t>
      </w:r>
      <w:r w:rsidRPr="00197BB9">
        <w:rPr>
          <w:rFonts w:cs="Arial"/>
        </w:rPr>
        <w:t>which should support a strategic view of its current and</w:t>
      </w:r>
      <w:r>
        <w:rPr>
          <w:rFonts w:cs="Arial"/>
        </w:rPr>
        <w:t xml:space="preserve"> </w:t>
      </w:r>
      <w:r w:rsidRPr="00197BB9">
        <w:rPr>
          <w:rFonts w:cs="Arial"/>
        </w:rPr>
        <w:t>future business needs</w:t>
      </w:r>
      <w:r>
        <w:rPr>
          <w:rFonts w:cs="Arial"/>
        </w:rPr>
        <w:t>. I</w:t>
      </w:r>
      <w:r w:rsidRPr="00197BB9">
        <w:rPr>
          <w:rFonts w:cs="Arial"/>
        </w:rPr>
        <w:t xml:space="preserve">t is expected that, </w:t>
      </w:r>
      <w:r>
        <w:rPr>
          <w:rFonts w:cs="Arial"/>
        </w:rPr>
        <w:t xml:space="preserve">as </w:t>
      </w:r>
      <w:r w:rsidRPr="00197BB9">
        <w:rPr>
          <w:rFonts w:cs="Arial"/>
        </w:rPr>
        <w:t xml:space="preserve">they </w:t>
      </w:r>
      <w:r>
        <w:rPr>
          <w:rFonts w:cs="Arial"/>
        </w:rPr>
        <w:t xml:space="preserve">become </w:t>
      </w:r>
      <w:r w:rsidRPr="00197BB9">
        <w:rPr>
          <w:rFonts w:cs="Arial"/>
        </w:rPr>
        <w:t>available, ICT services will be aligned with them.</w:t>
      </w:r>
    </w:p>
    <w:sectPr w:rsidR="00435720" w:rsidRPr="004E6EA4" w:rsidSect="00451F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EDA9" w14:textId="77777777" w:rsidR="007044AF" w:rsidRDefault="00922BB7">
      <w:pPr>
        <w:spacing w:line="240" w:lineRule="auto"/>
      </w:pPr>
      <w:r>
        <w:separator/>
      </w:r>
    </w:p>
  </w:endnote>
  <w:endnote w:type="continuationSeparator" w:id="0">
    <w:p w14:paraId="6A773880" w14:textId="77777777" w:rsidR="007044AF" w:rsidRDefault="0092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F30F" w14:textId="77777777" w:rsidR="00BF1841" w:rsidRDefault="00BF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FC66" w14:textId="77777777" w:rsidR="00BF1841" w:rsidRDefault="00BF1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601A" w14:textId="77777777" w:rsidR="00BF1841" w:rsidRDefault="00BF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51EF" w14:textId="77777777" w:rsidR="007044AF" w:rsidRDefault="00922BB7">
      <w:pPr>
        <w:spacing w:line="240" w:lineRule="auto"/>
      </w:pPr>
      <w:r>
        <w:separator/>
      </w:r>
    </w:p>
  </w:footnote>
  <w:footnote w:type="continuationSeparator" w:id="0">
    <w:p w14:paraId="5E184925" w14:textId="77777777" w:rsidR="007044AF" w:rsidRDefault="00922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3839" w14:textId="77777777" w:rsidR="00BF1841" w:rsidRDefault="00BF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189F" w14:textId="77777777" w:rsidR="008E43E0" w:rsidRPr="008E43E0" w:rsidRDefault="00922BB7">
    <w:pPr>
      <w:pStyle w:val="Header"/>
      <w:rPr>
        <w:rFonts w:ascii="Arial" w:hAnsi="Arial" w:cs="Arial"/>
        <w:b/>
        <w:sz w:val="24"/>
        <w:szCs w:val="24"/>
      </w:rPr>
    </w:pPr>
    <w:r w:rsidRPr="008E43E0">
      <w:rPr>
        <w:rFonts w:ascii="Arial" w:hAnsi="Arial" w:cs="Arial"/>
        <w:b/>
        <w:sz w:val="24"/>
        <w:szCs w:val="24"/>
      </w:rPr>
      <w:t xml:space="preserve">Matters </w:t>
    </w:r>
    <w:r>
      <w:rPr>
        <w:rFonts w:ascii="Arial" w:hAnsi="Arial" w:cs="Arial"/>
        <w:b/>
        <w:sz w:val="24"/>
        <w:szCs w:val="24"/>
      </w:rPr>
      <w:t>arising from audit work for 2019/20</w:t>
    </w:r>
    <w:r w:rsidRPr="008E43E0">
      <w:rPr>
        <w:rFonts w:ascii="Arial" w:hAnsi="Arial" w:cs="Arial"/>
        <w:b/>
        <w:sz w:val="24"/>
        <w:szCs w:val="24"/>
      </w:rPr>
      <w:t xml:space="preserve"> </w:t>
    </w:r>
    <w:r>
      <w:rPr>
        <w:rFonts w:ascii="Arial" w:hAnsi="Arial" w:cs="Arial"/>
        <w:b/>
        <w:sz w:val="24"/>
        <w:szCs w:val="24"/>
      </w:rPr>
      <w:t>to 30 September</w:t>
    </w:r>
    <w:r w:rsidRPr="008E43E0">
      <w:rPr>
        <w:rFonts w:ascii="Arial" w:hAnsi="Arial" w:cs="Arial"/>
        <w:b/>
        <w:sz w:val="24"/>
        <w:szCs w:val="24"/>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CB62" w14:textId="4862FDDD" w:rsidR="00451FB1" w:rsidRPr="00BF1841" w:rsidRDefault="00BF1841" w:rsidP="00BF1841">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C6E0B"/>
    <w:multiLevelType w:val="hybridMultilevel"/>
    <w:tmpl w:val="7E4A8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1A4062"/>
    <w:multiLevelType w:val="hybridMultilevel"/>
    <w:tmpl w:val="513AA548"/>
    <w:lvl w:ilvl="0" w:tplc="797E3A80">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BD420CC8" w:tentative="1">
      <w:start w:val="1"/>
      <w:numFmt w:val="lowerLetter"/>
      <w:lvlText w:val="%2."/>
      <w:lvlJc w:val="left"/>
      <w:pPr>
        <w:ind w:left="1440" w:hanging="360"/>
      </w:pPr>
    </w:lvl>
    <w:lvl w:ilvl="2" w:tplc="AB9ACF64" w:tentative="1">
      <w:start w:val="1"/>
      <w:numFmt w:val="lowerRoman"/>
      <w:lvlText w:val="%3."/>
      <w:lvlJc w:val="right"/>
      <w:pPr>
        <w:ind w:left="2160" w:hanging="180"/>
      </w:pPr>
    </w:lvl>
    <w:lvl w:ilvl="3" w:tplc="CD164738" w:tentative="1">
      <w:start w:val="1"/>
      <w:numFmt w:val="decimal"/>
      <w:lvlText w:val="%4."/>
      <w:lvlJc w:val="left"/>
      <w:pPr>
        <w:ind w:left="2880" w:hanging="360"/>
      </w:pPr>
    </w:lvl>
    <w:lvl w:ilvl="4" w:tplc="C6D44EAC" w:tentative="1">
      <w:start w:val="1"/>
      <w:numFmt w:val="lowerLetter"/>
      <w:lvlText w:val="%5."/>
      <w:lvlJc w:val="left"/>
      <w:pPr>
        <w:ind w:left="3600" w:hanging="360"/>
      </w:pPr>
    </w:lvl>
    <w:lvl w:ilvl="5" w:tplc="72EEB7A8" w:tentative="1">
      <w:start w:val="1"/>
      <w:numFmt w:val="lowerRoman"/>
      <w:lvlText w:val="%6."/>
      <w:lvlJc w:val="right"/>
      <w:pPr>
        <w:ind w:left="4320" w:hanging="180"/>
      </w:pPr>
    </w:lvl>
    <w:lvl w:ilvl="6" w:tplc="242E6776" w:tentative="1">
      <w:start w:val="1"/>
      <w:numFmt w:val="decimal"/>
      <w:lvlText w:val="%7."/>
      <w:lvlJc w:val="left"/>
      <w:pPr>
        <w:ind w:left="5040" w:hanging="360"/>
      </w:pPr>
    </w:lvl>
    <w:lvl w:ilvl="7" w:tplc="AB36E8DA" w:tentative="1">
      <w:start w:val="1"/>
      <w:numFmt w:val="lowerLetter"/>
      <w:lvlText w:val="%8."/>
      <w:lvlJc w:val="left"/>
      <w:pPr>
        <w:ind w:left="5760" w:hanging="360"/>
      </w:pPr>
    </w:lvl>
    <w:lvl w:ilvl="8" w:tplc="B3149668" w:tentative="1">
      <w:start w:val="1"/>
      <w:numFmt w:val="lowerRoman"/>
      <w:lvlText w:val="%9."/>
      <w:lvlJc w:val="right"/>
      <w:pPr>
        <w:ind w:left="6480" w:hanging="180"/>
      </w:pPr>
    </w:lvl>
  </w:abstractNum>
  <w:abstractNum w:abstractNumId="1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3" w15:restartNumberingAfterBreak="0">
    <w:nsid w:val="1EF853E8"/>
    <w:multiLevelType w:val="hybridMultilevel"/>
    <w:tmpl w:val="78BEB260"/>
    <w:lvl w:ilvl="0" w:tplc="169EFA82">
      <w:start w:val="4"/>
      <w:numFmt w:val="bullet"/>
      <w:lvlText w:val=""/>
      <w:lvlJc w:val="left"/>
      <w:pPr>
        <w:ind w:left="927" w:hanging="360"/>
      </w:pPr>
      <w:rPr>
        <w:rFonts w:ascii="Symbol" w:eastAsiaTheme="minorEastAsia" w:hAnsi="Symbol" w:cstheme="minorBidi" w:hint="default"/>
      </w:rPr>
    </w:lvl>
    <w:lvl w:ilvl="1" w:tplc="DAB286CC" w:tentative="1">
      <w:start w:val="1"/>
      <w:numFmt w:val="bullet"/>
      <w:lvlText w:val="o"/>
      <w:lvlJc w:val="left"/>
      <w:pPr>
        <w:ind w:left="1647" w:hanging="360"/>
      </w:pPr>
      <w:rPr>
        <w:rFonts w:ascii="Courier New" w:hAnsi="Courier New" w:cs="Courier New" w:hint="default"/>
      </w:rPr>
    </w:lvl>
    <w:lvl w:ilvl="2" w:tplc="A58A423A" w:tentative="1">
      <w:start w:val="1"/>
      <w:numFmt w:val="bullet"/>
      <w:lvlText w:val=""/>
      <w:lvlJc w:val="left"/>
      <w:pPr>
        <w:ind w:left="2367" w:hanging="360"/>
      </w:pPr>
      <w:rPr>
        <w:rFonts w:ascii="Wingdings" w:hAnsi="Wingdings" w:hint="default"/>
      </w:rPr>
    </w:lvl>
    <w:lvl w:ilvl="3" w:tplc="3420334A" w:tentative="1">
      <w:start w:val="1"/>
      <w:numFmt w:val="bullet"/>
      <w:lvlText w:val=""/>
      <w:lvlJc w:val="left"/>
      <w:pPr>
        <w:ind w:left="3087" w:hanging="360"/>
      </w:pPr>
      <w:rPr>
        <w:rFonts w:ascii="Symbol" w:hAnsi="Symbol" w:hint="default"/>
      </w:rPr>
    </w:lvl>
    <w:lvl w:ilvl="4" w:tplc="20AE15E2" w:tentative="1">
      <w:start w:val="1"/>
      <w:numFmt w:val="bullet"/>
      <w:lvlText w:val="o"/>
      <w:lvlJc w:val="left"/>
      <w:pPr>
        <w:ind w:left="3807" w:hanging="360"/>
      </w:pPr>
      <w:rPr>
        <w:rFonts w:ascii="Courier New" w:hAnsi="Courier New" w:cs="Courier New" w:hint="default"/>
      </w:rPr>
    </w:lvl>
    <w:lvl w:ilvl="5" w:tplc="0302A7F6" w:tentative="1">
      <w:start w:val="1"/>
      <w:numFmt w:val="bullet"/>
      <w:lvlText w:val=""/>
      <w:lvlJc w:val="left"/>
      <w:pPr>
        <w:ind w:left="4527" w:hanging="360"/>
      </w:pPr>
      <w:rPr>
        <w:rFonts w:ascii="Wingdings" w:hAnsi="Wingdings" w:hint="default"/>
      </w:rPr>
    </w:lvl>
    <w:lvl w:ilvl="6" w:tplc="269CA3A6" w:tentative="1">
      <w:start w:val="1"/>
      <w:numFmt w:val="bullet"/>
      <w:lvlText w:val=""/>
      <w:lvlJc w:val="left"/>
      <w:pPr>
        <w:ind w:left="5247" w:hanging="360"/>
      </w:pPr>
      <w:rPr>
        <w:rFonts w:ascii="Symbol" w:hAnsi="Symbol" w:hint="default"/>
      </w:rPr>
    </w:lvl>
    <w:lvl w:ilvl="7" w:tplc="85128A36" w:tentative="1">
      <w:start w:val="1"/>
      <w:numFmt w:val="bullet"/>
      <w:lvlText w:val="o"/>
      <w:lvlJc w:val="left"/>
      <w:pPr>
        <w:ind w:left="5967" w:hanging="360"/>
      </w:pPr>
      <w:rPr>
        <w:rFonts w:ascii="Courier New" w:hAnsi="Courier New" w:cs="Courier New" w:hint="default"/>
      </w:rPr>
    </w:lvl>
    <w:lvl w:ilvl="8" w:tplc="CC709490" w:tentative="1">
      <w:start w:val="1"/>
      <w:numFmt w:val="bullet"/>
      <w:lvlText w:val=""/>
      <w:lvlJc w:val="left"/>
      <w:pPr>
        <w:ind w:left="6687" w:hanging="360"/>
      </w:pPr>
      <w:rPr>
        <w:rFonts w:ascii="Wingdings" w:hAnsi="Wingdings" w:hint="default"/>
      </w:rPr>
    </w:lvl>
  </w:abstractNum>
  <w:abstractNum w:abstractNumId="14" w15:restartNumberingAfterBreak="0">
    <w:nsid w:val="2D140578"/>
    <w:multiLevelType w:val="hybridMultilevel"/>
    <w:tmpl w:val="212E4714"/>
    <w:lvl w:ilvl="0" w:tplc="00AC0AAA">
      <w:start w:val="4"/>
      <w:numFmt w:val="bullet"/>
      <w:lvlText w:val=""/>
      <w:lvlJc w:val="left"/>
      <w:pPr>
        <w:ind w:left="720" w:hanging="360"/>
      </w:pPr>
      <w:rPr>
        <w:rFonts w:ascii="Symbol" w:eastAsiaTheme="minorEastAsia" w:hAnsi="Symbol" w:cs="Arial" w:hint="default"/>
        <w:sz w:val="24"/>
      </w:rPr>
    </w:lvl>
    <w:lvl w:ilvl="1" w:tplc="783ACC5A" w:tentative="1">
      <w:start w:val="1"/>
      <w:numFmt w:val="bullet"/>
      <w:lvlText w:val="o"/>
      <w:lvlJc w:val="left"/>
      <w:pPr>
        <w:ind w:left="1440" w:hanging="360"/>
      </w:pPr>
      <w:rPr>
        <w:rFonts w:ascii="Courier New" w:hAnsi="Courier New" w:cs="Courier New" w:hint="default"/>
      </w:rPr>
    </w:lvl>
    <w:lvl w:ilvl="2" w:tplc="50CE8804" w:tentative="1">
      <w:start w:val="1"/>
      <w:numFmt w:val="bullet"/>
      <w:lvlText w:val=""/>
      <w:lvlJc w:val="left"/>
      <w:pPr>
        <w:ind w:left="2160" w:hanging="360"/>
      </w:pPr>
      <w:rPr>
        <w:rFonts w:ascii="Wingdings" w:hAnsi="Wingdings" w:hint="default"/>
      </w:rPr>
    </w:lvl>
    <w:lvl w:ilvl="3" w:tplc="8BA010F6" w:tentative="1">
      <w:start w:val="1"/>
      <w:numFmt w:val="bullet"/>
      <w:lvlText w:val=""/>
      <w:lvlJc w:val="left"/>
      <w:pPr>
        <w:ind w:left="2880" w:hanging="360"/>
      </w:pPr>
      <w:rPr>
        <w:rFonts w:ascii="Symbol" w:hAnsi="Symbol" w:hint="default"/>
      </w:rPr>
    </w:lvl>
    <w:lvl w:ilvl="4" w:tplc="1B5E43D4" w:tentative="1">
      <w:start w:val="1"/>
      <w:numFmt w:val="bullet"/>
      <w:lvlText w:val="o"/>
      <w:lvlJc w:val="left"/>
      <w:pPr>
        <w:ind w:left="3600" w:hanging="360"/>
      </w:pPr>
      <w:rPr>
        <w:rFonts w:ascii="Courier New" w:hAnsi="Courier New" w:cs="Courier New" w:hint="default"/>
      </w:rPr>
    </w:lvl>
    <w:lvl w:ilvl="5" w:tplc="8816201C" w:tentative="1">
      <w:start w:val="1"/>
      <w:numFmt w:val="bullet"/>
      <w:lvlText w:val=""/>
      <w:lvlJc w:val="left"/>
      <w:pPr>
        <w:ind w:left="4320" w:hanging="360"/>
      </w:pPr>
      <w:rPr>
        <w:rFonts w:ascii="Wingdings" w:hAnsi="Wingdings" w:hint="default"/>
      </w:rPr>
    </w:lvl>
    <w:lvl w:ilvl="6" w:tplc="2C7C1EBA" w:tentative="1">
      <w:start w:val="1"/>
      <w:numFmt w:val="bullet"/>
      <w:lvlText w:val=""/>
      <w:lvlJc w:val="left"/>
      <w:pPr>
        <w:ind w:left="5040" w:hanging="360"/>
      </w:pPr>
      <w:rPr>
        <w:rFonts w:ascii="Symbol" w:hAnsi="Symbol" w:hint="default"/>
      </w:rPr>
    </w:lvl>
    <w:lvl w:ilvl="7" w:tplc="2DE05640" w:tentative="1">
      <w:start w:val="1"/>
      <w:numFmt w:val="bullet"/>
      <w:lvlText w:val="o"/>
      <w:lvlJc w:val="left"/>
      <w:pPr>
        <w:ind w:left="5760" w:hanging="360"/>
      </w:pPr>
      <w:rPr>
        <w:rFonts w:ascii="Courier New" w:hAnsi="Courier New" w:cs="Courier New" w:hint="default"/>
      </w:rPr>
    </w:lvl>
    <w:lvl w:ilvl="8" w:tplc="50F4F524" w:tentative="1">
      <w:start w:val="1"/>
      <w:numFmt w:val="bullet"/>
      <w:lvlText w:val=""/>
      <w:lvlJc w:val="left"/>
      <w:pPr>
        <w:ind w:left="6480" w:hanging="360"/>
      </w:pPr>
      <w:rPr>
        <w:rFonts w:ascii="Wingdings" w:hAnsi="Wingdings" w:hint="default"/>
      </w:rPr>
    </w:lvl>
  </w:abstractNum>
  <w:abstractNum w:abstractNumId="15" w15:restartNumberingAfterBreak="0">
    <w:nsid w:val="47C75BDA"/>
    <w:multiLevelType w:val="hybridMultilevel"/>
    <w:tmpl w:val="27E6247C"/>
    <w:lvl w:ilvl="0" w:tplc="FC68D804">
      <w:start w:val="1"/>
      <w:numFmt w:val="bullet"/>
      <w:pStyle w:val="Rbullet"/>
      <w:lvlText w:val=""/>
      <w:lvlJc w:val="left"/>
      <w:pPr>
        <w:ind w:left="1440" w:hanging="360"/>
      </w:pPr>
      <w:rPr>
        <w:rFonts w:ascii="Symbol" w:hAnsi="Symbol" w:hint="default"/>
      </w:rPr>
    </w:lvl>
    <w:lvl w:ilvl="1" w:tplc="8FF427DA" w:tentative="1">
      <w:start w:val="1"/>
      <w:numFmt w:val="bullet"/>
      <w:lvlText w:val="o"/>
      <w:lvlJc w:val="left"/>
      <w:pPr>
        <w:ind w:left="2160" w:hanging="360"/>
      </w:pPr>
      <w:rPr>
        <w:rFonts w:ascii="Courier New" w:hAnsi="Courier New" w:cs="Courier New" w:hint="default"/>
      </w:rPr>
    </w:lvl>
    <w:lvl w:ilvl="2" w:tplc="26329D48" w:tentative="1">
      <w:start w:val="1"/>
      <w:numFmt w:val="bullet"/>
      <w:lvlText w:val=""/>
      <w:lvlJc w:val="left"/>
      <w:pPr>
        <w:ind w:left="2880" w:hanging="360"/>
      </w:pPr>
      <w:rPr>
        <w:rFonts w:ascii="Wingdings" w:hAnsi="Wingdings" w:hint="default"/>
      </w:rPr>
    </w:lvl>
    <w:lvl w:ilvl="3" w:tplc="78EC6DBC" w:tentative="1">
      <w:start w:val="1"/>
      <w:numFmt w:val="bullet"/>
      <w:lvlText w:val=""/>
      <w:lvlJc w:val="left"/>
      <w:pPr>
        <w:ind w:left="3600" w:hanging="360"/>
      </w:pPr>
      <w:rPr>
        <w:rFonts w:ascii="Symbol" w:hAnsi="Symbol" w:hint="default"/>
      </w:rPr>
    </w:lvl>
    <w:lvl w:ilvl="4" w:tplc="634CB774" w:tentative="1">
      <w:start w:val="1"/>
      <w:numFmt w:val="bullet"/>
      <w:lvlText w:val="o"/>
      <w:lvlJc w:val="left"/>
      <w:pPr>
        <w:ind w:left="4320" w:hanging="360"/>
      </w:pPr>
      <w:rPr>
        <w:rFonts w:ascii="Courier New" w:hAnsi="Courier New" w:cs="Courier New" w:hint="default"/>
      </w:rPr>
    </w:lvl>
    <w:lvl w:ilvl="5" w:tplc="7B28221C" w:tentative="1">
      <w:start w:val="1"/>
      <w:numFmt w:val="bullet"/>
      <w:lvlText w:val=""/>
      <w:lvlJc w:val="left"/>
      <w:pPr>
        <w:ind w:left="5040" w:hanging="360"/>
      </w:pPr>
      <w:rPr>
        <w:rFonts w:ascii="Wingdings" w:hAnsi="Wingdings" w:hint="default"/>
      </w:rPr>
    </w:lvl>
    <w:lvl w:ilvl="6" w:tplc="1818A554" w:tentative="1">
      <w:start w:val="1"/>
      <w:numFmt w:val="bullet"/>
      <w:lvlText w:val=""/>
      <w:lvlJc w:val="left"/>
      <w:pPr>
        <w:ind w:left="5760" w:hanging="360"/>
      </w:pPr>
      <w:rPr>
        <w:rFonts w:ascii="Symbol" w:hAnsi="Symbol" w:hint="default"/>
      </w:rPr>
    </w:lvl>
    <w:lvl w:ilvl="7" w:tplc="09CC17C0" w:tentative="1">
      <w:start w:val="1"/>
      <w:numFmt w:val="bullet"/>
      <w:lvlText w:val="o"/>
      <w:lvlJc w:val="left"/>
      <w:pPr>
        <w:ind w:left="6480" w:hanging="360"/>
      </w:pPr>
      <w:rPr>
        <w:rFonts w:ascii="Courier New" w:hAnsi="Courier New" w:cs="Courier New" w:hint="default"/>
      </w:rPr>
    </w:lvl>
    <w:lvl w:ilvl="8" w:tplc="A8F686B8" w:tentative="1">
      <w:start w:val="1"/>
      <w:numFmt w:val="bullet"/>
      <w:lvlText w:val=""/>
      <w:lvlJc w:val="left"/>
      <w:pPr>
        <w:ind w:left="7200" w:hanging="360"/>
      </w:pPr>
      <w:rPr>
        <w:rFonts w:ascii="Wingdings" w:hAnsi="Wingdings" w:hint="default"/>
      </w:rPr>
    </w:lvl>
  </w:abstractNum>
  <w:abstractNum w:abstractNumId="16"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7" w15:restartNumberingAfterBreak="0">
    <w:nsid w:val="55FD040D"/>
    <w:multiLevelType w:val="multilevel"/>
    <w:tmpl w:val="195AF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40F4E78"/>
    <w:multiLevelType w:val="hybridMultilevel"/>
    <w:tmpl w:val="47B9DDB7"/>
    <w:lvl w:ilvl="0" w:tplc="630AD012">
      <w:start w:val="1"/>
      <w:numFmt w:val="ideographDigital"/>
      <w:lvlText w:val=""/>
      <w:lvlJc w:val="left"/>
    </w:lvl>
    <w:lvl w:ilvl="1" w:tplc="BFE43D62">
      <w:numFmt w:val="decimal"/>
      <w:lvlText w:val=""/>
      <w:lvlJc w:val="left"/>
    </w:lvl>
    <w:lvl w:ilvl="2" w:tplc="42BEFEF6">
      <w:numFmt w:val="decimal"/>
      <w:lvlText w:val=""/>
      <w:lvlJc w:val="left"/>
    </w:lvl>
    <w:lvl w:ilvl="3" w:tplc="C8DC3D52">
      <w:numFmt w:val="decimal"/>
      <w:lvlText w:val=""/>
      <w:lvlJc w:val="left"/>
    </w:lvl>
    <w:lvl w:ilvl="4" w:tplc="C9543348">
      <w:numFmt w:val="decimal"/>
      <w:lvlText w:val=""/>
      <w:lvlJc w:val="left"/>
    </w:lvl>
    <w:lvl w:ilvl="5" w:tplc="973C4F08">
      <w:numFmt w:val="decimal"/>
      <w:lvlText w:val=""/>
      <w:lvlJc w:val="left"/>
    </w:lvl>
    <w:lvl w:ilvl="6" w:tplc="39861336">
      <w:numFmt w:val="decimal"/>
      <w:lvlText w:val=""/>
      <w:lvlJc w:val="left"/>
    </w:lvl>
    <w:lvl w:ilvl="7" w:tplc="80B2B768">
      <w:numFmt w:val="decimal"/>
      <w:lvlText w:val=""/>
      <w:lvlJc w:val="left"/>
    </w:lvl>
    <w:lvl w:ilvl="8" w:tplc="82AA5040">
      <w:numFmt w:val="decimal"/>
      <w:lvlText w:val=""/>
      <w:lvlJc w:val="left"/>
    </w:lvl>
  </w:abstractNum>
  <w:abstractNum w:abstractNumId="20" w15:restartNumberingAfterBreak="0">
    <w:nsid w:val="69536897"/>
    <w:multiLevelType w:val="multilevel"/>
    <w:tmpl w:val="0CF0AC1C"/>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2128"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2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1"/>
  </w:num>
  <w:num w:numId="13">
    <w:abstractNumId w:val="21"/>
  </w:num>
  <w:num w:numId="14">
    <w:abstractNumId w:val="22"/>
  </w:num>
  <w:num w:numId="15">
    <w:abstractNumId w:val="15"/>
  </w:num>
  <w:num w:numId="16">
    <w:abstractNumId w:val="20"/>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0"/>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2"/>
  </w:num>
  <w:num w:numId="19">
    <w:abstractNumId w:val="22"/>
  </w:num>
  <w:num w:numId="20">
    <w:abstractNumId w:val="12"/>
  </w:num>
  <w:num w:numId="21">
    <w:abstractNumId w:val="16"/>
  </w:num>
  <w:num w:numId="22">
    <w:abstractNumId w:val="1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19"/>
  </w:num>
  <w:num w:numId="41">
    <w:abstractNumId w:val="13"/>
  </w:num>
  <w:num w:numId="42">
    <w:abstractNumId w:val="1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5B"/>
    <w:rsid w:val="001110FD"/>
    <w:rsid w:val="00174962"/>
    <w:rsid w:val="00196EC7"/>
    <w:rsid w:val="001A0DF8"/>
    <w:rsid w:val="001C1483"/>
    <w:rsid w:val="001D18E0"/>
    <w:rsid w:val="0024235B"/>
    <w:rsid w:val="00271D5B"/>
    <w:rsid w:val="002F65C2"/>
    <w:rsid w:val="00341132"/>
    <w:rsid w:val="004E6EA4"/>
    <w:rsid w:val="00551FAB"/>
    <w:rsid w:val="0057625A"/>
    <w:rsid w:val="00610ADE"/>
    <w:rsid w:val="0062439C"/>
    <w:rsid w:val="006A3B96"/>
    <w:rsid w:val="00701A63"/>
    <w:rsid w:val="007044AF"/>
    <w:rsid w:val="00714DA1"/>
    <w:rsid w:val="007E0F29"/>
    <w:rsid w:val="007E6154"/>
    <w:rsid w:val="00891FC0"/>
    <w:rsid w:val="008E73F0"/>
    <w:rsid w:val="00922BB7"/>
    <w:rsid w:val="00983FBB"/>
    <w:rsid w:val="009C57EC"/>
    <w:rsid w:val="00A40EEB"/>
    <w:rsid w:val="00A4763C"/>
    <w:rsid w:val="00A60E56"/>
    <w:rsid w:val="00AE4240"/>
    <w:rsid w:val="00AF6C8A"/>
    <w:rsid w:val="00BB7D7A"/>
    <w:rsid w:val="00BD36CF"/>
    <w:rsid w:val="00BF1841"/>
    <w:rsid w:val="00C13202"/>
    <w:rsid w:val="00C51699"/>
    <w:rsid w:val="00D5304C"/>
    <w:rsid w:val="00E36DF6"/>
    <w:rsid w:val="00E54290"/>
    <w:rsid w:val="00EE3E8F"/>
    <w:rsid w:val="00F65924"/>
    <w:rsid w:val="00FA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6D55"/>
  <w15:docId w15:val="{4EDCDD80-04C3-4DDE-A334-4865C2CF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9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02DC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866838"/>
    <w:pPr>
      <w:numPr>
        <w:ilvl w:val="0"/>
        <w:numId w:val="0"/>
      </w:numPr>
    </w:pPr>
  </w:style>
  <w:style w:type="paragraph" w:styleId="Subtitle">
    <w:name w:val="Subtitle"/>
    <w:basedOn w:val="Normal"/>
    <w:next w:val="Normal"/>
    <w:link w:val="SubtitleChar"/>
    <w:uiPriority w:val="11"/>
    <w:rsid w:val="008872C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spacing w:after="160" w:line="259" w:lineRule="auto"/>
      <w:contextualSpacing/>
    </w:pPr>
    <w:rPr>
      <w:rFonts w:asciiTheme="minorHAnsi" w:eastAsiaTheme="minorHAnsi" w:hAnsiTheme="minorHAnsi" w:cstheme="minorBidi"/>
      <w:sz w:val="22"/>
      <w:szCs w:val="22"/>
    </w:r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866838"/>
    <w:rPr>
      <w:rFonts w:ascii="Arial" w:eastAsiaTheme="minorEastAsia" w:hAnsi="Arial"/>
      <w:sz w:val="24"/>
    </w:rPr>
  </w:style>
  <w:style w:type="paragraph" w:customStyle="1" w:styleId="Rbullet">
    <w:name w:val="R bullet"/>
    <w:basedOn w:val="Rnumberedparagraph"/>
    <w:link w:val="RbulletChar"/>
    <w:autoRedefine/>
    <w:qFormat/>
    <w:rsid w:val="00291B97"/>
    <w:pPr>
      <w:numPr>
        <w:numId w:val="15"/>
      </w:numPr>
      <w:ind w:left="1134" w:hanging="283"/>
    </w:pPr>
  </w:style>
  <w:style w:type="paragraph" w:customStyle="1" w:styleId="Rblankparagraph">
    <w:name w:val="R blank paragraph"/>
    <w:basedOn w:val="Rnumberedparagraph"/>
    <w:link w:val="RblankparagraphChar"/>
    <w:autoRedefine/>
    <w:qFormat/>
    <w:rsid w:val="000D1344"/>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743805"/>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743805"/>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C17EA6"/>
    <w:pPr>
      <w:numPr>
        <w:ilvl w:val="0"/>
        <w:numId w:val="0"/>
      </w:numPr>
      <w:tabs>
        <w:tab w:val="right" w:pos="9026"/>
      </w:tabs>
      <w:spacing w:after="0"/>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Char">
    <w:name w:val="R sub-heading Char"/>
    <w:basedOn w:val="RparagraphChar"/>
    <w:link w:val="Rsub-heading"/>
    <w:rsid w:val="00C17EA6"/>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1FB1"/>
  </w:style>
  <w:style w:type="paragraph" w:styleId="Footer">
    <w:name w:val="footer"/>
    <w:basedOn w:val="Normal"/>
    <w:link w:val="Foot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FB1"/>
  </w:style>
  <w:style w:type="table" w:styleId="TableGrid">
    <w:name w:val="Table Grid"/>
    <w:basedOn w:val="TableNormal"/>
    <w:rsid w:val="00887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7E27"/>
    <w:pPr>
      <w:spacing w:before="60" w:after="6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0F7E27"/>
    <w:rPr>
      <w:rFonts w:ascii="Tahoma" w:eastAsia="Times New Roman" w:hAnsi="Tahoma" w:cs="Tahoma"/>
      <w:sz w:val="16"/>
      <w:szCs w:val="16"/>
      <w:lang w:eastAsia="en-GB"/>
    </w:rPr>
  </w:style>
  <w:style w:type="paragraph" w:customStyle="1" w:styleId="Ruthsbulletpoint">
    <w:name w:val="Ruth's bullet point"/>
    <w:basedOn w:val="Normal"/>
    <w:uiPriority w:val="99"/>
    <w:rsid w:val="000F7E27"/>
    <w:pPr>
      <w:numPr>
        <w:ilvl w:val="1"/>
        <w:numId w:val="22"/>
      </w:numPr>
      <w:spacing w:before="120" w:after="120" w:line="240" w:lineRule="auto"/>
      <w:contextualSpacing/>
    </w:pPr>
    <w:rPr>
      <w:rFonts w:ascii="Arial" w:hAnsi="Arial"/>
      <w:sz w:val="24"/>
      <w:szCs w:val="24"/>
      <w:lang w:eastAsia="en-GB"/>
    </w:rPr>
  </w:style>
  <w:style w:type="paragraph" w:styleId="ListParagraph">
    <w:name w:val="List Paragraph"/>
    <w:basedOn w:val="Normal"/>
    <w:link w:val="ListParagraphChar"/>
    <w:uiPriority w:val="34"/>
    <w:qFormat/>
    <w:rsid w:val="00C849EA"/>
    <w:pPr>
      <w:ind w:left="720"/>
    </w:pPr>
  </w:style>
  <w:style w:type="character" w:customStyle="1" w:styleId="ListParagraphChar">
    <w:name w:val="List Paragraph Char"/>
    <w:basedOn w:val="DefaultParagraphFont"/>
    <w:link w:val="ListParagraph"/>
    <w:uiPriority w:val="34"/>
    <w:locked/>
    <w:rsid w:val="00C849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4802"/>
    <w:rPr>
      <w:sz w:val="16"/>
      <w:szCs w:val="16"/>
    </w:rPr>
  </w:style>
  <w:style w:type="paragraph" w:styleId="CommentText">
    <w:name w:val="annotation text"/>
    <w:basedOn w:val="Normal"/>
    <w:link w:val="CommentTextChar"/>
    <w:uiPriority w:val="99"/>
    <w:semiHidden/>
    <w:unhideWhenUsed/>
    <w:rsid w:val="000B480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B4802"/>
    <w:rPr>
      <w:sz w:val="20"/>
      <w:szCs w:val="20"/>
    </w:rPr>
  </w:style>
  <w:style w:type="paragraph" w:styleId="CommentSubject">
    <w:name w:val="annotation subject"/>
    <w:basedOn w:val="CommentText"/>
    <w:next w:val="CommentText"/>
    <w:link w:val="CommentSubjectChar"/>
    <w:uiPriority w:val="99"/>
    <w:semiHidden/>
    <w:unhideWhenUsed/>
    <w:rsid w:val="000B4802"/>
    <w:rPr>
      <w:b/>
      <w:bCs/>
    </w:rPr>
  </w:style>
  <w:style w:type="character" w:customStyle="1" w:styleId="CommentSubjectChar">
    <w:name w:val="Comment Subject Char"/>
    <w:basedOn w:val="CommentTextChar"/>
    <w:link w:val="CommentSubject"/>
    <w:uiPriority w:val="99"/>
    <w:semiHidden/>
    <w:rsid w:val="000B4802"/>
    <w:rPr>
      <w:b/>
      <w:bCs/>
      <w:sz w:val="20"/>
      <w:szCs w:val="20"/>
    </w:rPr>
  </w:style>
  <w:style w:type="paragraph" w:customStyle="1" w:styleId="R1heading">
    <w:name w:val="R1 heading"/>
    <w:basedOn w:val="Subtitle"/>
    <w:autoRedefine/>
    <w:qFormat/>
    <w:rsid w:val="002E3B34"/>
    <w:pPr>
      <w:numPr>
        <w:ilvl w:val="0"/>
      </w:numPr>
      <w:spacing w:before="240" w:after="120" w:line="240" w:lineRule="auto"/>
      <w:ind w:left="567" w:hanging="567"/>
    </w:pPr>
    <w:rPr>
      <w:rFonts w:ascii="Arial" w:hAnsi="Arial" w:cs="Times New Roman"/>
      <w:b/>
      <w:color w:val="auto"/>
      <w:spacing w:val="0"/>
      <w:sz w:val="28"/>
      <w:szCs w:val="24"/>
      <w:lang w:eastAsia="en-GB"/>
    </w:rPr>
  </w:style>
  <w:style w:type="paragraph" w:customStyle="1" w:styleId="R3paragraph">
    <w:name w:val="R3 paragraph"/>
    <w:basedOn w:val="R1heading"/>
    <w:link w:val="R3paragraphChar"/>
    <w:qFormat/>
    <w:rsid w:val="002E3B34"/>
    <w:pPr>
      <w:spacing w:before="120"/>
    </w:pPr>
    <w:rPr>
      <w:b w:val="0"/>
      <w:sz w:val="24"/>
    </w:rPr>
  </w:style>
  <w:style w:type="paragraph" w:customStyle="1" w:styleId="R7thirdlevelparagraph">
    <w:name w:val="R7 third level paragraph"/>
    <w:basedOn w:val="R3paragraph"/>
    <w:autoRedefine/>
    <w:qFormat/>
    <w:rsid w:val="002E3B34"/>
    <w:pPr>
      <w:ind w:left="1080" w:hanging="360"/>
    </w:pPr>
  </w:style>
  <w:style w:type="character" w:customStyle="1" w:styleId="R3paragraphChar">
    <w:name w:val="R3 paragraph Char"/>
    <w:basedOn w:val="DefaultParagraphFont"/>
    <w:link w:val="R3paragraph"/>
    <w:rsid w:val="002E3B34"/>
    <w:rPr>
      <w:rFonts w:ascii="Arial" w:eastAsiaTheme="minorEastAsia" w:hAnsi="Arial" w:cs="Times New Roman"/>
      <w:sz w:val="24"/>
      <w:szCs w:val="24"/>
      <w:lang w:eastAsia="en-GB"/>
    </w:rPr>
  </w:style>
  <w:style w:type="paragraph" w:customStyle="1" w:styleId="Default">
    <w:name w:val="Default"/>
    <w:rsid w:val="004405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6613">
      <w:bodyDiv w:val="1"/>
      <w:marLeft w:val="0"/>
      <w:marRight w:val="0"/>
      <w:marTop w:val="0"/>
      <w:marBottom w:val="0"/>
      <w:divBdr>
        <w:top w:val="none" w:sz="0" w:space="0" w:color="auto"/>
        <w:left w:val="none" w:sz="0" w:space="0" w:color="auto"/>
        <w:bottom w:val="none" w:sz="0" w:space="0" w:color="auto"/>
        <w:right w:val="none" w:sz="0" w:space="0" w:color="auto"/>
      </w:divBdr>
    </w:div>
    <w:div w:id="2028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9</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54</cp:revision>
  <cp:lastPrinted>2019-10-10T11:22:00Z</cp:lastPrinted>
  <dcterms:created xsi:type="dcterms:W3CDTF">2019-09-30T10:38:00Z</dcterms:created>
  <dcterms:modified xsi:type="dcterms:W3CDTF">2019-10-17T08:18:00Z</dcterms:modified>
</cp:coreProperties>
</file>